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2E9C3">
      <w:pPr>
        <w:spacing w:line="280" w:lineRule="auto"/>
        <w:ind w:firstLine="600"/>
        <w:jc w:val="center"/>
        <w:textAlignment w:val="center"/>
      </w:pPr>
      <w:r>
        <w:rPr>
          <w:rFonts w:ascii="微软雅黑" w:hAnsi="微软雅黑" w:eastAsia="微软雅黑" w:cs="微软雅黑"/>
          <w:b/>
          <w:color w:val="000000"/>
          <w:sz w:val="44"/>
        </w:rPr>
        <w:t>最新2025春季国家开放大学《形势与政策》形成性考核</w:t>
      </w:r>
      <w:r>
        <w:rPr>
          <w:rFonts w:hint="eastAsia" w:cs="微软雅黑"/>
          <w:b/>
          <w:color w:val="000000"/>
          <w:sz w:val="44"/>
          <w:lang w:val="en-US" w:eastAsia="zh-CN"/>
        </w:rPr>
        <w:t>试卷（含</w:t>
      </w:r>
      <w:bookmarkStart w:id="0" w:name="_GoBack"/>
      <w:bookmarkEnd w:id="0"/>
      <w:r>
        <w:rPr>
          <w:rFonts w:ascii="微软雅黑" w:hAnsi="微软雅黑" w:eastAsia="微软雅黑" w:cs="微软雅黑"/>
          <w:b/>
          <w:color w:val="000000"/>
          <w:sz w:val="44"/>
        </w:rPr>
        <w:t>答案</w:t>
      </w:r>
      <w:r>
        <w:rPr>
          <w:rFonts w:hint="eastAsia" w:cs="微软雅黑"/>
          <w:b/>
          <w:color w:val="000000"/>
          <w:sz w:val="44"/>
          <w:lang w:val="en-US" w:eastAsia="zh-CN"/>
        </w:rPr>
        <w:t>）</w:t>
      </w:r>
    </w:p>
    <w:p w14:paraId="6424E9AE">
      <w:pPr>
        <w:pStyle w:val="3"/>
        <w:spacing w:line="280" w:lineRule="auto"/>
        <w:ind w:firstLine="600"/>
      </w:pPr>
      <w:r>
        <w:rPr>
          <w:rFonts w:ascii="微软雅黑" w:hAnsi="微软雅黑" w:eastAsia="微软雅黑" w:cs="微软雅黑"/>
          <w:color w:val="000000"/>
          <w:sz w:val="32"/>
        </w:rPr>
        <w:t>一、单项选择题（每题 2 分，共 30 分）</w:t>
      </w:r>
    </w:p>
    <w:p w14:paraId="52DCFCC0">
      <w:pPr>
        <w:spacing w:line="280" w:lineRule="auto"/>
        <w:ind w:firstLine="600"/>
        <w:jc w:val="both"/>
      </w:pPr>
      <w:r>
        <w:rPr>
          <w:rFonts w:ascii="微软雅黑" w:hAnsi="微软雅黑" w:eastAsia="微软雅黑" w:cs="微软雅黑"/>
          <w:color w:val="000000"/>
          <w:sz w:val="32"/>
        </w:rPr>
        <w:t>1. 2024 年我国国内生产总值（GDP）达到（  ）万亿元，稳居世界第二位。</w:t>
      </w:r>
    </w:p>
    <w:p w14:paraId="0117E8A2">
      <w:pPr>
        <w:spacing w:line="280" w:lineRule="auto"/>
        <w:ind w:firstLine="600"/>
        <w:jc w:val="both"/>
      </w:pPr>
      <w:r>
        <w:rPr>
          <w:rFonts w:ascii="微软雅黑" w:hAnsi="微软雅黑" w:eastAsia="微软雅黑" w:cs="微软雅黑"/>
          <w:color w:val="000000"/>
          <w:sz w:val="32"/>
        </w:rPr>
        <w:t>A. 120</w:t>
      </w:r>
    </w:p>
    <w:p w14:paraId="7C4FBA5F">
      <w:pPr>
        <w:spacing w:line="280" w:lineRule="auto"/>
        <w:ind w:firstLine="600"/>
        <w:jc w:val="both"/>
      </w:pPr>
      <w:r>
        <w:rPr>
          <w:rFonts w:ascii="微软雅黑" w:hAnsi="微软雅黑" w:eastAsia="微软雅黑" w:cs="微软雅黑"/>
          <w:color w:val="000000"/>
          <w:sz w:val="32"/>
        </w:rPr>
        <w:t>B. 130</w:t>
      </w:r>
    </w:p>
    <w:p w14:paraId="5B88143E">
      <w:pPr>
        <w:spacing w:line="280" w:lineRule="auto"/>
        <w:ind w:firstLine="600"/>
        <w:jc w:val="both"/>
      </w:pPr>
      <w:r>
        <w:rPr>
          <w:rFonts w:ascii="微软雅黑" w:hAnsi="微软雅黑" w:eastAsia="微软雅黑" w:cs="微软雅黑"/>
          <w:color w:val="000000"/>
          <w:sz w:val="32"/>
        </w:rPr>
        <w:t>C. 140</w:t>
      </w:r>
    </w:p>
    <w:p w14:paraId="32BC8E41">
      <w:pPr>
        <w:spacing w:line="280" w:lineRule="auto"/>
        <w:ind w:firstLine="600"/>
        <w:jc w:val="both"/>
      </w:pPr>
      <w:r>
        <w:rPr>
          <w:rFonts w:ascii="微软雅黑" w:hAnsi="微软雅黑" w:eastAsia="微软雅黑" w:cs="微软雅黑"/>
          <w:color w:val="000000"/>
          <w:sz w:val="32"/>
        </w:rPr>
        <w:t>D. 150</w:t>
      </w:r>
    </w:p>
    <w:p w14:paraId="6F8F075D">
      <w:pPr>
        <w:spacing w:line="280" w:lineRule="auto"/>
        <w:ind w:firstLine="600"/>
        <w:jc w:val="both"/>
      </w:pPr>
      <w:r>
        <w:rPr>
          <w:rFonts w:ascii="微软雅黑" w:hAnsi="微软雅黑" w:eastAsia="微软雅黑" w:cs="微软雅黑"/>
          <w:color w:val="000000"/>
          <w:sz w:val="32"/>
        </w:rPr>
        <w:t>答案：D</w:t>
      </w:r>
    </w:p>
    <w:p w14:paraId="08A3D80F">
      <w:pPr>
        <w:spacing w:line="280" w:lineRule="auto"/>
        <w:ind w:firstLine="600"/>
        <w:jc w:val="both"/>
      </w:pPr>
      <w:r>
        <w:rPr>
          <w:rFonts w:ascii="微软雅黑" w:hAnsi="微软雅黑" w:eastAsia="微软雅黑" w:cs="微软雅黑"/>
          <w:color w:val="000000"/>
          <w:sz w:val="32"/>
        </w:rPr>
        <w:t>解析：2024 年我国国内生产总值达 150 万亿元，这一数据体现了我国经济的持续稳定发展和强大的经济实力。</w:t>
      </w:r>
    </w:p>
    <w:p w14:paraId="23848388">
      <w:pPr>
        <w:spacing w:line="280" w:lineRule="auto"/>
        <w:ind w:firstLine="600"/>
        <w:jc w:val="both"/>
      </w:pPr>
      <w:r>
        <w:rPr>
          <w:rFonts w:ascii="微软雅黑" w:hAnsi="微软雅黑" w:eastAsia="微软雅黑" w:cs="微软雅黑"/>
          <w:color w:val="000000"/>
          <w:sz w:val="32"/>
        </w:rPr>
        <w:t>2. 以下哪一项不属于我国加快建设现代化产业体系的重要举措（  ）。</w:t>
      </w:r>
    </w:p>
    <w:p w14:paraId="3ED5CDBB">
      <w:pPr>
        <w:spacing w:line="280" w:lineRule="auto"/>
        <w:ind w:firstLine="600"/>
        <w:jc w:val="both"/>
      </w:pPr>
      <w:r>
        <w:rPr>
          <w:rFonts w:ascii="微软雅黑" w:hAnsi="微软雅黑" w:eastAsia="微软雅黑" w:cs="微软雅黑"/>
          <w:color w:val="000000"/>
          <w:sz w:val="32"/>
        </w:rPr>
        <w:t>A. 巩固拓展优势产业领先地位</w:t>
      </w:r>
    </w:p>
    <w:p w14:paraId="17C39681">
      <w:pPr>
        <w:spacing w:line="280" w:lineRule="auto"/>
        <w:ind w:firstLine="600"/>
        <w:jc w:val="both"/>
      </w:pPr>
      <w:r>
        <w:rPr>
          <w:rFonts w:ascii="微软雅黑" w:hAnsi="微软雅黑" w:eastAsia="微软雅黑" w:cs="微软雅黑"/>
          <w:color w:val="000000"/>
          <w:sz w:val="32"/>
        </w:rPr>
        <w:t>B. 加快补齐短板产业</w:t>
      </w:r>
    </w:p>
    <w:p w14:paraId="1F83E2AE">
      <w:pPr>
        <w:spacing w:line="280" w:lineRule="auto"/>
        <w:ind w:firstLine="600"/>
        <w:jc w:val="both"/>
      </w:pPr>
      <w:r>
        <w:rPr>
          <w:rFonts w:ascii="微软雅黑" w:hAnsi="微软雅黑" w:eastAsia="微软雅黑" w:cs="微软雅黑"/>
          <w:color w:val="000000"/>
          <w:sz w:val="32"/>
        </w:rPr>
        <w:t>C. 全面淘汰传统产业</w:t>
      </w:r>
    </w:p>
    <w:p w14:paraId="7B74716B">
      <w:pPr>
        <w:spacing w:line="280" w:lineRule="auto"/>
        <w:ind w:firstLine="600"/>
        <w:jc w:val="both"/>
      </w:pPr>
      <w:r>
        <w:rPr>
          <w:rFonts w:ascii="微软雅黑" w:hAnsi="微软雅黑" w:eastAsia="微软雅黑" w:cs="微软雅黑"/>
          <w:color w:val="000000"/>
          <w:sz w:val="32"/>
        </w:rPr>
        <w:t>D. 前瞻布局未来产业</w:t>
      </w:r>
    </w:p>
    <w:p w14:paraId="767EE8DF">
      <w:pPr>
        <w:spacing w:line="280" w:lineRule="auto"/>
        <w:ind w:firstLine="600"/>
        <w:jc w:val="both"/>
      </w:pPr>
      <w:r>
        <w:rPr>
          <w:rFonts w:ascii="微软雅黑" w:hAnsi="微软雅黑" w:eastAsia="微软雅黑" w:cs="微软雅黑"/>
          <w:color w:val="000000"/>
          <w:sz w:val="32"/>
        </w:rPr>
        <w:t>答案：C</w:t>
      </w:r>
    </w:p>
    <w:p w14:paraId="69194DC7">
      <w:pPr>
        <w:spacing w:line="280" w:lineRule="auto"/>
        <w:ind w:firstLine="600"/>
        <w:jc w:val="both"/>
      </w:pPr>
      <w:r>
        <w:rPr>
          <w:rFonts w:ascii="微软雅黑" w:hAnsi="微软雅黑" w:eastAsia="微软雅黑" w:cs="微软雅黑"/>
          <w:color w:val="000000"/>
          <w:sz w:val="32"/>
        </w:rPr>
        <w:t>解析：我国加快建设现代化产业体系，是要巩固拓展优势产业领先地位、加快补齐短板产业、前瞻布局未来产业，而不是全面淘汰传统产业。传统产业在我国经济中仍占据重要地位，通过转型升级可以实现新的发展。</w:t>
      </w:r>
    </w:p>
    <w:p w14:paraId="7BF3CB6C">
      <w:pPr>
        <w:spacing w:line="280" w:lineRule="auto"/>
        <w:ind w:firstLine="600"/>
        <w:jc w:val="both"/>
      </w:pPr>
      <w:r>
        <w:rPr>
          <w:rFonts w:ascii="微软雅黑" w:hAnsi="微软雅黑" w:eastAsia="微软雅黑" w:cs="微软雅黑"/>
          <w:color w:val="000000"/>
          <w:sz w:val="32"/>
        </w:rPr>
        <w:t>3. 2024 年我国粮食产量连续（  ）年稳定在 1.3 万亿斤以上。</w:t>
      </w:r>
    </w:p>
    <w:p w14:paraId="73371CE9">
      <w:pPr>
        <w:spacing w:line="280" w:lineRule="auto"/>
        <w:ind w:firstLine="600"/>
        <w:jc w:val="both"/>
      </w:pPr>
      <w:r>
        <w:rPr>
          <w:rFonts w:ascii="微软雅黑" w:hAnsi="微软雅黑" w:eastAsia="微软雅黑" w:cs="微软雅黑"/>
          <w:color w:val="000000"/>
          <w:sz w:val="32"/>
        </w:rPr>
        <w:t>A. 6</w:t>
      </w:r>
    </w:p>
    <w:p w14:paraId="5BE3E956">
      <w:pPr>
        <w:spacing w:line="280" w:lineRule="auto"/>
        <w:ind w:firstLine="600"/>
        <w:jc w:val="both"/>
      </w:pPr>
      <w:r>
        <w:rPr>
          <w:rFonts w:ascii="微软雅黑" w:hAnsi="微软雅黑" w:eastAsia="微软雅黑" w:cs="微软雅黑"/>
          <w:color w:val="000000"/>
          <w:sz w:val="32"/>
        </w:rPr>
        <w:t>B. 7</w:t>
      </w:r>
    </w:p>
    <w:p w14:paraId="5F7B21BA">
      <w:pPr>
        <w:spacing w:line="280" w:lineRule="auto"/>
        <w:ind w:firstLine="600"/>
        <w:jc w:val="both"/>
      </w:pPr>
      <w:r>
        <w:rPr>
          <w:rFonts w:ascii="微软雅黑" w:hAnsi="微软雅黑" w:eastAsia="微软雅黑" w:cs="微软雅黑"/>
          <w:color w:val="000000"/>
          <w:sz w:val="32"/>
        </w:rPr>
        <w:t>C. 8</w:t>
      </w:r>
    </w:p>
    <w:p w14:paraId="178BD915">
      <w:pPr>
        <w:spacing w:line="280" w:lineRule="auto"/>
        <w:ind w:firstLine="600"/>
        <w:jc w:val="both"/>
      </w:pPr>
      <w:r>
        <w:rPr>
          <w:rFonts w:ascii="微软雅黑" w:hAnsi="微软雅黑" w:eastAsia="微软雅黑" w:cs="微软雅黑"/>
          <w:color w:val="000000"/>
          <w:sz w:val="32"/>
        </w:rPr>
        <w:t>D. 9</w:t>
      </w:r>
    </w:p>
    <w:p w14:paraId="12CBE561">
      <w:pPr>
        <w:spacing w:line="280" w:lineRule="auto"/>
        <w:ind w:firstLine="600"/>
        <w:jc w:val="both"/>
      </w:pPr>
      <w:r>
        <w:rPr>
          <w:rFonts w:ascii="微软雅黑" w:hAnsi="微软雅黑" w:eastAsia="微软雅黑" w:cs="微软雅黑"/>
          <w:color w:val="000000"/>
          <w:sz w:val="32"/>
        </w:rPr>
        <w:t>答案：C</w:t>
      </w:r>
    </w:p>
    <w:p w14:paraId="551F9C14">
      <w:pPr>
        <w:spacing w:line="280" w:lineRule="auto"/>
        <w:ind w:firstLine="600"/>
        <w:jc w:val="both"/>
      </w:pPr>
      <w:r>
        <w:rPr>
          <w:rFonts w:ascii="微软雅黑" w:hAnsi="微软雅黑" w:eastAsia="微软雅黑" w:cs="微软雅黑"/>
          <w:color w:val="000000"/>
          <w:sz w:val="32"/>
        </w:rPr>
        <w:t>解析：2024 年我国粮食产量连续 8 年稳定在 1.3 万亿斤以上，这保障了国家的粮食安全，体现了我国农业发展的良好态势。</w:t>
      </w:r>
    </w:p>
    <w:p w14:paraId="269A58C0">
      <w:pPr>
        <w:spacing w:line="280" w:lineRule="auto"/>
        <w:ind w:firstLine="600"/>
        <w:jc w:val="both"/>
      </w:pPr>
      <w:r>
        <w:rPr>
          <w:rFonts w:ascii="微软雅黑" w:hAnsi="微软雅黑" w:eastAsia="微软雅黑" w:cs="微软雅黑"/>
          <w:color w:val="000000"/>
          <w:sz w:val="32"/>
        </w:rPr>
        <w:t>4. 共建“一带一路”倡议秉持的原则是（  ）。</w:t>
      </w:r>
    </w:p>
    <w:p w14:paraId="5EA5BB7F">
      <w:pPr>
        <w:spacing w:line="280" w:lineRule="auto"/>
        <w:ind w:firstLine="600"/>
        <w:jc w:val="both"/>
      </w:pPr>
      <w:r>
        <w:rPr>
          <w:rFonts w:ascii="微软雅黑" w:hAnsi="微软雅黑" w:eastAsia="微软雅黑" w:cs="微软雅黑"/>
          <w:color w:val="000000"/>
          <w:sz w:val="32"/>
        </w:rPr>
        <w:t>A. 共商、共建、共享</w:t>
      </w:r>
    </w:p>
    <w:p w14:paraId="05919ABE">
      <w:pPr>
        <w:spacing w:line="280" w:lineRule="auto"/>
        <w:ind w:firstLine="600"/>
        <w:jc w:val="both"/>
      </w:pPr>
      <w:r>
        <w:rPr>
          <w:rFonts w:ascii="微软雅黑" w:hAnsi="微软雅黑" w:eastAsia="微软雅黑" w:cs="微软雅黑"/>
          <w:color w:val="000000"/>
          <w:sz w:val="32"/>
        </w:rPr>
        <w:t>B. 公平、公正、公开</w:t>
      </w:r>
    </w:p>
    <w:p w14:paraId="7BC6531B">
      <w:pPr>
        <w:spacing w:line="280" w:lineRule="auto"/>
        <w:ind w:firstLine="600"/>
        <w:jc w:val="both"/>
      </w:pPr>
      <w:r>
        <w:rPr>
          <w:rFonts w:ascii="微软雅黑" w:hAnsi="微软雅黑" w:eastAsia="微软雅黑" w:cs="微软雅黑"/>
          <w:color w:val="000000"/>
          <w:sz w:val="32"/>
        </w:rPr>
        <w:t>C. 合作、共赢、发展</w:t>
      </w:r>
    </w:p>
    <w:p w14:paraId="5CAD8759">
      <w:pPr>
        <w:spacing w:line="280" w:lineRule="auto"/>
        <w:ind w:firstLine="600"/>
        <w:jc w:val="both"/>
      </w:pPr>
      <w:r>
        <w:rPr>
          <w:rFonts w:ascii="微软雅黑" w:hAnsi="微软雅黑" w:eastAsia="微软雅黑" w:cs="微软雅黑"/>
          <w:color w:val="000000"/>
          <w:sz w:val="32"/>
        </w:rPr>
        <w:t>D. 和平、稳定、繁荣</w:t>
      </w:r>
    </w:p>
    <w:p w14:paraId="4FF3F021">
      <w:pPr>
        <w:spacing w:line="280" w:lineRule="auto"/>
        <w:ind w:firstLine="600"/>
        <w:jc w:val="both"/>
      </w:pPr>
      <w:r>
        <w:rPr>
          <w:rFonts w:ascii="微软雅黑" w:hAnsi="微软雅黑" w:eastAsia="微软雅黑" w:cs="微软雅黑"/>
          <w:color w:val="000000"/>
          <w:sz w:val="32"/>
        </w:rPr>
        <w:t>答案：A</w:t>
      </w:r>
    </w:p>
    <w:p w14:paraId="3008158E">
      <w:pPr>
        <w:spacing w:line="280" w:lineRule="auto"/>
        <w:ind w:firstLine="600"/>
        <w:jc w:val="both"/>
      </w:pPr>
      <w:r>
        <w:rPr>
          <w:rFonts w:ascii="微软雅黑" w:hAnsi="微软雅黑" w:eastAsia="微软雅黑" w:cs="微软雅黑"/>
          <w:color w:val="000000"/>
          <w:sz w:val="32"/>
        </w:rPr>
        <w:t>解析：共建“一带一路”倡议秉持共商、共建、共享原则，这一原则强调在合作中充分尊重各国意愿，共同参与建设，共享发展成果。</w:t>
      </w:r>
    </w:p>
    <w:p w14:paraId="6AD57341">
      <w:pPr>
        <w:spacing w:line="280" w:lineRule="auto"/>
        <w:ind w:firstLine="600"/>
        <w:jc w:val="both"/>
      </w:pPr>
      <w:r>
        <w:rPr>
          <w:rFonts w:ascii="微软雅黑" w:hAnsi="微软雅黑" w:eastAsia="微软雅黑" w:cs="微软雅黑"/>
          <w:color w:val="000000"/>
          <w:sz w:val="32"/>
        </w:rPr>
        <w:t>5. 我国推进碳达峰碳中和的工作原则不包括（  ）。</w:t>
      </w:r>
    </w:p>
    <w:p w14:paraId="1C4D912F">
      <w:pPr>
        <w:spacing w:line="280" w:lineRule="auto"/>
        <w:ind w:firstLine="600"/>
        <w:jc w:val="both"/>
      </w:pPr>
      <w:r>
        <w:rPr>
          <w:rFonts w:ascii="微软雅黑" w:hAnsi="微软雅黑" w:eastAsia="微软雅黑" w:cs="微软雅黑"/>
          <w:color w:val="000000"/>
          <w:sz w:val="32"/>
        </w:rPr>
        <w:t>A. 全国统筹</w:t>
      </w:r>
    </w:p>
    <w:p w14:paraId="1B028254">
      <w:pPr>
        <w:spacing w:line="280" w:lineRule="auto"/>
        <w:ind w:firstLine="600"/>
        <w:jc w:val="both"/>
      </w:pPr>
      <w:r>
        <w:rPr>
          <w:rFonts w:ascii="微软雅黑" w:hAnsi="微软雅黑" w:eastAsia="微软雅黑" w:cs="微软雅黑"/>
          <w:color w:val="000000"/>
          <w:sz w:val="32"/>
        </w:rPr>
        <w:t>B. 节约优先</w:t>
      </w:r>
    </w:p>
    <w:p w14:paraId="546675B8">
      <w:pPr>
        <w:spacing w:line="280" w:lineRule="auto"/>
        <w:ind w:firstLine="600"/>
        <w:jc w:val="both"/>
      </w:pPr>
      <w:r>
        <w:rPr>
          <w:rFonts w:ascii="微软雅黑" w:hAnsi="微软雅黑" w:eastAsia="微软雅黑" w:cs="微软雅黑"/>
          <w:color w:val="000000"/>
          <w:sz w:val="32"/>
        </w:rPr>
        <w:t>C. 双轮驱动</w:t>
      </w:r>
    </w:p>
    <w:p w14:paraId="3D6011D3">
      <w:pPr>
        <w:spacing w:line="280" w:lineRule="auto"/>
        <w:ind w:firstLine="600"/>
        <w:jc w:val="both"/>
      </w:pPr>
      <w:r>
        <w:rPr>
          <w:rFonts w:ascii="微软雅黑" w:hAnsi="微软雅黑" w:eastAsia="微软雅黑" w:cs="微软雅黑"/>
          <w:color w:val="000000"/>
          <w:sz w:val="32"/>
        </w:rPr>
        <w:t>D. 先破后立</w:t>
      </w:r>
    </w:p>
    <w:p w14:paraId="1EDF42C3">
      <w:pPr>
        <w:spacing w:line="280" w:lineRule="auto"/>
        <w:ind w:firstLine="600"/>
        <w:jc w:val="both"/>
      </w:pPr>
      <w:r>
        <w:rPr>
          <w:rFonts w:ascii="微软雅黑" w:hAnsi="微软雅黑" w:eastAsia="微软雅黑" w:cs="微软雅黑"/>
          <w:color w:val="000000"/>
          <w:sz w:val="32"/>
        </w:rPr>
        <w:t>答案：D</w:t>
      </w:r>
    </w:p>
    <w:p w14:paraId="4EE99DA7">
      <w:pPr>
        <w:spacing w:line="280" w:lineRule="auto"/>
        <w:ind w:firstLine="600"/>
        <w:jc w:val="both"/>
      </w:pPr>
      <w:r>
        <w:rPr>
          <w:rFonts w:ascii="微软雅黑" w:hAnsi="微软雅黑" w:eastAsia="微软雅黑" w:cs="微软雅黑"/>
          <w:color w:val="000000"/>
          <w:sz w:val="32"/>
        </w:rPr>
        <w:t>解析：我国推进碳达峰碳中和坚持全国统筹、节约优先、双轮驱动、内外畅通、防范风险的原则，要坚持先立后破，而不是先破后立。</w:t>
      </w:r>
    </w:p>
    <w:p w14:paraId="67ABA4BB">
      <w:pPr>
        <w:spacing w:line="280" w:lineRule="auto"/>
        <w:ind w:firstLine="600"/>
        <w:jc w:val="both"/>
      </w:pPr>
      <w:r>
        <w:rPr>
          <w:rFonts w:ascii="微软雅黑" w:hAnsi="微软雅黑" w:eastAsia="微软雅黑" w:cs="微软雅黑"/>
          <w:color w:val="000000"/>
          <w:sz w:val="32"/>
        </w:rPr>
        <w:t>6. 2024 年我国新增劳动力平均受教育年限达到（  ）年。</w:t>
      </w:r>
    </w:p>
    <w:p w14:paraId="530BEC86">
      <w:pPr>
        <w:spacing w:line="280" w:lineRule="auto"/>
        <w:ind w:firstLine="600"/>
        <w:jc w:val="both"/>
      </w:pPr>
      <w:r>
        <w:rPr>
          <w:rFonts w:ascii="微软雅黑" w:hAnsi="微软雅黑" w:eastAsia="微软雅黑" w:cs="微软雅黑"/>
          <w:color w:val="000000"/>
          <w:sz w:val="32"/>
        </w:rPr>
        <w:t>A. 13.3</w:t>
      </w:r>
    </w:p>
    <w:p w14:paraId="70FF73B6">
      <w:pPr>
        <w:spacing w:line="280" w:lineRule="auto"/>
        <w:ind w:firstLine="600"/>
        <w:jc w:val="both"/>
      </w:pPr>
      <w:r>
        <w:rPr>
          <w:rFonts w:ascii="微软雅黑" w:hAnsi="微软雅黑" w:eastAsia="微软雅黑" w:cs="微软雅黑"/>
          <w:color w:val="000000"/>
          <w:sz w:val="32"/>
        </w:rPr>
        <w:t>B. 14</w:t>
      </w:r>
    </w:p>
    <w:p w14:paraId="53204072">
      <w:pPr>
        <w:spacing w:line="280" w:lineRule="auto"/>
        <w:ind w:firstLine="600"/>
        <w:jc w:val="both"/>
      </w:pPr>
      <w:r>
        <w:rPr>
          <w:rFonts w:ascii="微软雅黑" w:hAnsi="微软雅黑" w:eastAsia="微软雅黑" w:cs="微软雅黑"/>
          <w:color w:val="000000"/>
          <w:sz w:val="32"/>
        </w:rPr>
        <w:t>C. 14.5</w:t>
      </w:r>
    </w:p>
    <w:p w14:paraId="013D866B">
      <w:pPr>
        <w:spacing w:line="280" w:lineRule="auto"/>
        <w:ind w:firstLine="600"/>
        <w:jc w:val="both"/>
      </w:pPr>
      <w:r>
        <w:rPr>
          <w:rFonts w:ascii="微软雅黑" w:hAnsi="微软雅黑" w:eastAsia="微软雅黑" w:cs="微软雅黑"/>
          <w:color w:val="000000"/>
          <w:sz w:val="32"/>
        </w:rPr>
        <w:t>D. 15</w:t>
      </w:r>
    </w:p>
    <w:p w14:paraId="6863D635">
      <w:pPr>
        <w:spacing w:line="280" w:lineRule="auto"/>
        <w:ind w:firstLine="600"/>
        <w:jc w:val="both"/>
      </w:pPr>
      <w:r>
        <w:rPr>
          <w:rFonts w:ascii="微软雅黑" w:hAnsi="微软雅黑" w:eastAsia="微软雅黑" w:cs="微软雅黑"/>
          <w:color w:val="000000"/>
          <w:sz w:val="32"/>
        </w:rPr>
        <w:t>答案：A</w:t>
      </w:r>
    </w:p>
    <w:p w14:paraId="428D8F92">
      <w:pPr>
        <w:spacing w:line="280" w:lineRule="auto"/>
        <w:ind w:firstLine="600"/>
        <w:jc w:val="both"/>
      </w:pPr>
      <w:r>
        <w:rPr>
          <w:rFonts w:ascii="微软雅黑" w:hAnsi="微软雅黑" w:eastAsia="微软雅黑" w:cs="微软雅黑"/>
          <w:color w:val="000000"/>
          <w:sz w:val="32"/>
        </w:rPr>
        <w:t>解析：2024 年我国新增劳动力平均受教育年限达到 13.3 年，这反映了我国教育事业的发展和劳动力素质的提升。</w:t>
      </w:r>
    </w:p>
    <w:p w14:paraId="75F4584B">
      <w:pPr>
        <w:spacing w:line="280" w:lineRule="auto"/>
        <w:ind w:firstLine="600"/>
        <w:jc w:val="both"/>
      </w:pPr>
      <w:r>
        <w:rPr>
          <w:rFonts w:ascii="微软雅黑" w:hAnsi="微软雅黑" w:eastAsia="微软雅黑" w:cs="微软雅黑"/>
          <w:color w:val="000000"/>
          <w:sz w:val="32"/>
        </w:rPr>
        <w:t>7. 以下哪个地区是我国数字经济发展的高地（  ）。</w:t>
      </w:r>
    </w:p>
    <w:p w14:paraId="4DB9EB9E">
      <w:pPr>
        <w:spacing w:line="280" w:lineRule="auto"/>
        <w:ind w:firstLine="600"/>
        <w:jc w:val="both"/>
      </w:pPr>
      <w:r>
        <w:rPr>
          <w:rFonts w:ascii="微软雅黑" w:hAnsi="微软雅黑" w:eastAsia="微软雅黑" w:cs="微软雅黑"/>
          <w:color w:val="000000"/>
          <w:sz w:val="32"/>
        </w:rPr>
        <w:t>A. 东北地区</w:t>
      </w:r>
    </w:p>
    <w:p w14:paraId="4A89F423">
      <w:pPr>
        <w:spacing w:line="280" w:lineRule="auto"/>
        <w:ind w:firstLine="600"/>
        <w:jc w:val="both"/>
      </w:pPr>
      <w:r>
        <w:rPr>
          <w:rFonts w:ascii="微软雅黑" w:hAnsi="微软雅黑" w:eastAsia="微软雅黑" w:cs="微软雅黑"/>
          <w:color w:val="000000"/>
          <w:sz w:val="32"/>
        </w:rPr>
        <w:t>B. 京津冀地区</w:t>
      </w:r>
    </w:p>
    <w:p w14:paraId="7F2514EA">
      <w:pPr>
        <w:spacing w:line="280" w:lineRule="auto"/>
        <w:ind w:firstLine="600"/>
        <w:jc w:val="both"/>
      </w:pPr>
      <w:r>
        <w:rPr>
          <w:rFonts w:ascii="微软雅黑" w:hAnsi="微软雅黑" w:eastAsia="微软雅黑" w:cs="微软雅黑"/>
          <w:color w:val="000000"/>
          <w:sz w:val="32"/>
        </w:rPr>
        <w:t>C. 中部地区</w:t>
      </w:r>
    </w:p>
    <w:p w14:paraId="0DA423C4">
      <w:pPr>
        <w:spacing w:line="280" w:lineRule="auto"/>
        <w:ind w:firstLine="600"/>
        <w:jc w:val="both"/>
      </w:pPr>
      <w:r>
        <w:rPr>
          <w:rFonts w:ascii="微软雅黑" w:hAnsi="微软雅黑" w:eastAsia="微软雅黑" w:cs="微软雅黑"/>
          <w:color w:val="000000"/>
          <w:sz w:val="32"/>
        </w:rPr>
        <w:t>D. 西部地区</w:t>
      </w:r>
    </w:p>
    <w:p w14:paraId="6421EEC6">
      <w:pPr>
        <w:spacing w:line="280" w:lineRule="auto"/>
        <w:ind w:firstLine="600"/>
        <w:jc w:val="both"/>
      </w:pPr>
      <w:r>
        <w:rPr>
          <w:rFonts w:ascii="微软雅黑" w:hAnsi="微软雅黑" w:eastAsia="微软雅黑" w:cs="微软雅黑"/>
          <w:color w:val="000000"/>
          <w:sz w:val="32"/>
        </w:rPr>
        <w:t>答案：B</w:t>
      </w:r>
    </w:p>
    <w:p w14:paraId="2F7B3F7F">
      <w:pPr>
        <w:spacing w:line="280" w:lineRule="auto"/>
        <w:ind w:firstLine="600"/>
        <w:jc w:val="both"/>
      </w:pPr>
      <w:r>
        <w:rPr>
          <w:rFonts w:ascii="微软雅黑" w:hAnsi="微软雅黑" w:eastAsia="微软雅黑" w:cs="微软雅黑"/>
          <w:color w:val="000000"/>
          <w:sz w:val="32"/>
        </w:rPr>
        <w:t>解析：京津冀地区科技资源丰富、产业基础雄厚、政策支持力度大，是我国数字经济发展的高地之一。</w:t>
      </w:r>
    </w:p>
    <w:p w14:paraId="31C04B89">
      <w:pPr>
        <w:spacing w:line="280" w:lineRule="auto"/>
        <w:ind w:firstLine="600"/>
        <w:jc w:val="both"/>
      </w:pPr>
      <w:r>
        <w:rPr>
          <w:rFonts w:ascii="微软雅黑" w:hAnsi="微软雅黑" w:eastAsia="微软雅黑" w:cs="微软雅黑"/>
          <w:color w:val="000000"/>
          <w:sz w:val="32"/>
        </w:rPr>
        <w:t>8. 我国推动构建人类命运共同体，要建设一个（  ）的世界。</w:t>
      </w:r>
    </w:p>
    <w:p w14:paraId="5AAB8EA1">
      <w:pPr>
        <w:spacing w:line="280" w:lineRule="auto"/>
        <w:ind w:firstLine="600"/>
        <w:jc w:val="both"/>
      </w:pPr>
      <w:r>
        <w:rPr>
          <w:rFonts w:ascii="微软雅黑" w:hAnsi="微软雅黑" w:eastAsia="微软雅黑" w:cs="微软雅黑"/>
          <w:color w:val="000000"/>
          <w:sz w:val="32"/>
        </w:rPr>
        <w:t>A. 持久和平、普遍安全、共同繁荣、开放包容、清洁美丽</w:t>
      </w:r>
    </w:p>
    <w:p w14:paraId="6A98026E">
      <w:pPr>
        <w:spacing w:line="280" w:lineRule="auto"/>
        <w:ind w:firstLine="600"/>
        <w:jc w:val="both"/>
      </w:pPr>
      <w:r>
        <w:rPr>
          <w:rFonts w:ascii="微软雅黑" w:hAnsi="微软雅黑" w:eastAsia="微软雅黑" w:cs="微软雅黑"/>
          <w:color w:val="000000"/>
          <w:sz w:val="32"/>
        </w:rPr>
        <w:t>B. 和平共处、公平正义、合作共赢、开放包容、绿色发展</w:t>
      </w:r>
    </w:p>
    <w:p w14:paraId="180CCB84">
      <w:pPr>
        <w:spacing w:line="280" w:lineRule="auto"/>
        <w:ind w:firstLine="600"/>
        <w:jc w:val="both"/>
      </w:pPr>
      <w:r>
        <w:rPr>
          <w:rFonts w:ascii="微软雅黑" w:hAnsi="微软雅黑" w:eastAsia="微软雅黑" w:cs="微软雅黑"/>
          <w:color w:val="000000"/>
          <w:sz w:val="32"/>
        </w:rPr>
        <w:t>C. 持久和平、公平正义、共同发展、开放包容、清洁美丽</w:t>
      </w:r>
    </w:p>
    <w:p w14:paraId="33669C67">
      <w:pPr>
        <w:spacing w:line="280" w:lineRule="auto"/>
        <w:ind w:firstLine="600"/>
        <w:jc w:val="both"/>
      </w:pPr>
      <w:r>
        <w:rPr>
          <w:rFonts w:ascii="微软雅黑" w:hAnsi="微软雅黑" w:eastAsia="微软雅黑" w:cs="微软雅黑"/>
          <w:color w:val="000000"/>
          <w:sz w:val="32"/>
        </w:rPr>
        <w:t>D. 和平共处、普遍安全、合作共赢、开放包容、绿色发展</w:t>
      </w:r>
    </w:p>
    <w:p w14:paraId="1A330634">
      <w:pPr>
        <w:spacing w:line="280" w:lineRule="auto"/>
        <w:ind w:firstLine="600"/>
        <w:jc w:val="both"/>
      </w:pPr>
      <w:r>
        <w:rPr>
          <w:rFonts w:ascii="微软雅黑" w:hAnsi="微软雅黑" w:eastAsia="微软雅黑" w:cs="微软雅黑"/>
          <w:color w:val="000000"/>
          <w:sz w:val="32"/>
        </w:rPr>
        <w:t>答案：A</w:t>
      </w:r>
    </w:p>
    <w:p w14:paraId="0A185D58">
      <w:pPr>
        <w:spacing w:line="280" w:lineRule="auto"/>
        <w:ind w:firstLine="600"/>
        <w:jc w:val="both"/>
      </w:pPr>
      <w:r>
        <w:rPr>
          <w:rFonts w:ascii="微软雅黑" w:hAnsi="微软雅黑" w:eastAsia="微软雅黑" w:cs="微软雅黑"/>
          <w:color w:val="000000"/>
          <w:sz w:val="32"/>
        </w:rPr>
        <w:t>解析：我国推动构建人类命运共同体，要建设一个持久和平、普遍安全、共同繁荣、开放包容、清洁美丽的世界。</w:t>
      </w:r>
    </w:p>
    <w:p w14:paraId="0537634A">
      <w:pPr>
        <w:spacing w:line="280" w:lineRule="auto"/>
        <w:ind w:firstLine="600"/>
        <w:jc w:val="both"/>
      </w:pPr>
      <w:r>
        <w:rPr>
          <w:rFonts w:ascii="微软雅黑" w:hAnsi="微软雅黑" w:eastAsia="微软雅黑" w:cs="微软雅黑"/>
          <w:color w:val="000000"/>
          <w:sz w:val="32"/>
        </w:rPr>
        <w:t>9. 2024 年我国货物贸易进出口总值再创历史新高，达到（  ）万亿元。</w:t>
      </w:r>
    </w:p>
    <w:p w14:paraId="1886C649">
      <w:pPr>
        <w:spacing w:line="280" w:lineRule="auto"/>
        <w:ind w:firstLine="600"/>
        <w:jc w:val="both"/>
      </w:pPr>
      <w:r>
        <w:rPr>
          <w:rFonts w:ascii="微软雅黑" w:hAnsi="微软雅黑" w:eastAsia="微软雅黑" w:cs="微软雅黑"/>
          <w:color w:val="000000"/>
          <w:sz w:val="32"/>
        </w:rPr>
        <w:t>A. 40</w:t>
      </w:r>
    </w:p>
    <w:p w14:paraId="388868CA">
      <w:pPr>
        <w:spacing w:line="280" w:lineRule="auto"/>
        <w:ind w:firstLine="600"/>
        <w:jc w:val="both"/>
      </w:pPr>
      <w:r>
        <w:rPr>
          <w:rFonts w:ascii="微软雅黑" w:hAnsi="微软雅黑" w:eastAsia="微软雅黑" w:cs="微软雅黑"/>
          <w:color w:val="000000"/>
          <w:sz w:val="32"/>
        </w:rPr>
        <w:t>B. 41</w:t>
      </w:r>
    </w:p>
    <w:p w14:paraId="441E2119">
      <w:pPr>
        <w:spacing w:line="280" w:lineRule="auto"/>
        <w:ind w:firstLine="600"/>
        <w:jc w:val="both"/>
      </w:pPr>
      <w:r>
        <w:rPr>
          <w:rFonts w:ascii="微软雅黑" w:hAnsi="微软雅黑" w:eastAsia="微软雅黑" w:cs="微软雅黑"/>
          <w:color w:val="000000"/>
          <w:sz w:val="32"/>
        </w:rPr>
        <w:t>C. 42</w:t>
      </w:r>
    </w:p>
    <w:p w14:paraId="75819369">
      <w:pPr>
        <w:spacing w:line="280" w:lineRule="auto"/>
        <w:ind w:firstLine="600"/>
        <w:jc w:val="both"/>
      </w:pPr>
      <w:r>
        <w:rPr>
          <w:rFonts w:ascii="微软雅黑" w:hAnsi="微软雅黑" w:eastAsia="微软雅黑" w:cs="微软雅黑"/>
          <w:color w:val="000000"/>
          <w:sz w:val="32"/>
        </w:rPr>
        <w:t>D. 43</w:t>
      </w:r>
    </w:p>
    <w:p w14:paraId="53BCEC8C">
      <w:pPr>
        <w:spacing w:line="280" w:lineRule="auto"/>
        <w:ind w:firstLine="600"/>
        <w:jc w:val="both"/>
      </w:pPr>
      <w:r>
        <w:rPr>
          <w:rFonts w:ascii="微软雅黑" w:hAnsi="微软雅黑" w:eastAsia="微软雅黑" w:cs="微软雅黑"/>
          <w:color w:val="000000"/>
          <w:sz w:val="32"/>
        </w:rPr>
        <w:t>答案：C</w:t>
      </w:r>
    </w:p>
    <w:p w14:paraId="119897C4">
      <w:pPr>
        <w:spacing w:line="280" w:lineRule="auto"/>
        <w:ind w:firstLine="600"/>
        <w:jc w:val="both"/>
      </w:pPr>
      <w:r>
        <w:rPr>
          <w:rFonts w:ascii="微软雅黑" w:hAnsi="微软雅黑" w:eastAsia="微软雅黑" w:cs="微软雅黑"/>
          <w:color w:val="000000"/>
          <w:sz w:val="32"/>
        </w:rPr>
        <w:t>解析：2024 年我国货物贸易进出口总值再创历史新高，达到 42 万亿元，彰显了我国在国际贸易中的重要地位。</w:t>
      </w:r>
    </w:p>
    <w:p w14:paraId="708BAAC7">
      <w:pPr>
        <w:spacing w:line="280" w:lineRule="auto"/>
        <w:ind w:firstLine="600"/>
        <w:jc w:val="both"/>
      </w:pPr>
      <w:r>
        <w:rPr>
          <w:rFonts w:ascii="微软雅黑" w:hAnsi="微软雅黑" w:eastAsia="微软雅黑" w:cs="微软雅黑"/>
          <w:color w:val="000000"/>
          <w:sz w:val="32"/>
        </w:rPr>
        <w:t>10. 我国实施乡村振兴战略的总目标是（  ）。</w:t>
      </w:r>
    </w:p>
    <w:p w14:paraId="150702CA">
      <w:pPr>
        <w:spacing w:line="280" w:lineRule="auto"/>
        <w:ind w:firstLine="600"/>
        <w:jc w:val="both"/>
      </w:pPr>
      <w:r>
        <w:rPr>
          <w:rFonts w:ascii="微软雅黑" w:hAnsi="微软雅黑" w:eastAsia="微软雅黑" w:cs="微软雅黑"/>
          <w:color w:val="000000"/>
          <w:sz w:val="32"/>
        </w:rPr>
        <w:t>A. 农业农村现代化</w:t>
      </w:r>
    </w:p>
    <w:p w14:paraId="75F9995E">
      <w:pPr>
        <w:spacing w:line="280" w:lineRule="auto"/>
        <w:ind w:firstLine="600"/>
        <w:jc w:val="both"/>
      </w:pPr>
      <w:r>
        <w:rPr>
          <w:rFonts w:ascii="微软雅黑" w:hAnsi="微软雅黑" w:eastAsia="微软雅黑" w:cs="微软雅黑"/>
          <w:color w:val="000000"/>
          <w:sz w:val="32"/>
        </w:rPr>
        <w:t>B. 产业兴旺、生态宜居、乡风文明、治理有效、生活富裕</w:t>
      </w:r>
    </w:p>
    <w:p w14:paraId="2BE14464">
      <w:pPr>
        <w:spacing w:line="280" w:lineRule="auto"/>
        <w:ind w:firstLine="600"/>
        <w:jc w:val="both"/>
      </w:pPr>
      <w:r>
        <w:rPr>
          <w:rFonts w:ascii="微软雅黑" w:hAnsi="微软雅黑" w:eastAsia="微软雅黑" w:cs="微软雅黑"/>
          <w:color w:val="000000"/>
          <w:sz w:val="32"/>
        </w:rPr>
        <w:t>C. 促进农民增收</w:t>
      </w:r>
    </w:p>
    <w:p w14:paraId="4BF82810">
      <w:pPr>
        <w:spacing w:line="280" w:lineRule="auto"/>
        <w:ind w:firstLine="600"/>
        <w:jc w:val="both"/>
      </w:pPr>
      <w:r>
        <w:rPr>
          <w:rFonts w:ascii="微软雅黑" w:hAnsi="微软雅黑" w:eastAsia="微软雅黑" w:cs="微软雅黑"/>
          <w:color w:val="000000"/>
          <w:sz w:val="32"/>
        </w:rPr>
        <w:t>D. 巩固拓展脱贫攻坚成果</w:t>
      </w:r>
    </w:p>
    <w:p w14:paraId="451D5280">
      <w:pPr>
        <w:spacing w:line="280" w:lineRule="auto"/>
        <w:ind w:firstLine="600"/>
        <w:jc w:val="both"/>
      </w:pPr>
      <w:r>
        <w:rPr>
          <w:rFonts w:ascii="微软雅黑" w:hAnsi="微软雅黑" w:eastAsia="微软雅黑" w:cs="微软雅黑"/>
          <w:color w:val="000000"/>
          <w:sz w:val="32"/>
        </w:rPr>
        <w:t>答案：A</w:t>
      </w:r>
    </w:p>
    <w:p w14:paraId="55EFA521">
      <w:pPr>
        <w:spacing w:line="280" w:lineRule="auto"/>
        <w:ind w:firstLine="600"/>
        <w:jc w:val="both"/>
      </w:pPr>
      <w:r>
        <w:rPr>
          <w:rFonts w:ascii="微软雅黑" w:hAnsi="微软雅黑" w:eastAsia="微软雅黑" w:cs="微软雅黑"/>
          <w:color w:val="000000"/>
          <w:sz w:val="32"/>
        </w:rPr>
        <w:t>解析：我国实施乡村振兴战略的总目标是农业农村现代化，总要求是产业兴旺、生态宜居、乡风文明、治理有效、生活富裕。</w:t>
      </w:r>
    </w:p>
    <w:p w14:paraId="29586B02">
      <w:pPr>
        <w:spacing w:line="280" w:lineRule="auto"/>
        <w:ind w:firstLine="600"/>
        <w:jc w:val="both"/>
      </w:pPr>
      <w:r>
        <w:rPr>
          <w:rFonts w:ascii="微软雅黑" w:hAnsi="微软雅黑" w:eastAsia="微软雅黑" w:cs="微软雅黑"/>
          <w:color w:val="000000"/>
          <w:sz w:val="32"/>
        </w:rPr>
        <w:t>11. 以下哪种技术是人工智能领域的关键技术（  ）。</w:t>
      </w:r>
    </w:p>
    <w:p w14:paraId="3528E4C4">
      <w:pPr>
        <w:spacing w:line="280" w:lineRule="auto"/>
        <w:ind w:firstLine="600"/>
        <w:jc w:val="both"/>
      </w:pPr>
      <w:r>
        <w:rPr>
          <w:rFonts w:ascii="微软雅黑" w:hAnsi="微软雅黑" w:eastAsia="微软雅黑" w:cs="微软雅黑"/>
          <w:color w:val="000000"/>
          <w:sz w:val="32"/>
        </w:rPr>
        <w:t>A. 区块链技术</w:t>
      </w:r>
    </w:p>
    <w:p w14:paraId="0B5BBC52">
      <w:pPr>
        <w:spacing w:line="280" w:lineRule="auto"/>
        <w:ind w:firstLine="600"/>
        <w:jc w:val="both"/>
      </w:pPr>
      <w:r>
        <w:rPr>
          <w:rFonts w:ascii="微软雅黑" w:hAnsi="微软雅黑" w:eastAsia="微软雅黑" w:cs="微软雅黑"/>
          <w:color w:val="000000"/>
          <w:sz w:val="32"/>
        </w:rPr>
        <w:t>B. 量子计算技术</w:t>
      </w:r>
    </w:p>
    <w:p w14:paraId="0B226169">
      <w:pPr>
        <w:spacing w:line="280" w:lineRule="auto"/>
        <w:ind w:firstLine="600"/>
        <w:jc w:val="both"/>
      </w:pPr>
      <w:r>
        <w:rPr>
          <w:rFonts w:ascii="微软雅黑" w:hAnsi="微软雅黑" w:eastAsia="微软雅黑" w:cs="微软雅黑"/>
          <w:color w:val="000000"/>
          <w:sz w:val="32"/>
        </w:rPr>
        <w:t>C. 机器学习技术</w:t>
      </w:r>
    </w:p>
    <w:p w14:paraId="77D3D42B">
      <w:pPr>
        <w:spacing w:line="280" w:lineRule="auto"/>
        <w:ind w:firstLine="600"/>
        <w:jc w:val="both"/>
      </w:pPr>
      <w:r>
        <w:rPr>
          <w:rFonts w:ascii="微软雅黑" w:hAnsi="微软雅黑" w:eastAsia="微软雅黑" w:cs="微软雅黑"/>
          <w:color w:val="000000"/>
          <w:sz w:val="32"/>
        </w:rPr>
        <w:t>D. 物联网技术</w:t>
      </w:r>
    </w:p>
    <w:p w14:paraId="2726AF43">
      <w:pPr>
        <w:spacing w:line="280" w:lineRule="auto"/>
        <w:ind w:firstLine="600"/>
        <w:jc w:val="both"/>
      </w:pPr>
      <w:r>
        <w:rPr>
          <w:rFonts w:ascii="微软雅黑" w:hAnsi="微软雅黑" w:eastAsia="微软雅黑" w:cs="微软雅黑"/>
          <w:color w:val="000000"/>
          <w:sz w:val="32"/>
        </w:rPr>
        <w:t>答案：C</w:t>
      </w:r>
    </w:p>
    <w:p w14:paraId="126255D3">
      <w:pPr>
        <w:spacing w:line="280" w:lineRule="auto"/>
        <w:ind w:firstLine="600"/>
        <w:jc w:val="both"/>
      </w:pPr>
      <w:r>
        <w:rPr>
          <w:rFonts w:ascii="微软雅黑" w:hAnsi="微软雅黑" w:eastAsia="微软雅黑" w:cs="微软雅黑"/>
          <w:color w:val="000000"/>
          <w:sz w:val="32"/>
        </w:rPr>
        <w:t>解析：机器学习技术是人工智能领域的关键技术，它使计算机能够通过数据学习和改进性能。</w:t>
      </w:r>
    </w:p>
    <w:p w14:paraId="7C42BF34">
      <w:pPr>
        <w:spacing w:line="280" w:lineRule="auto"/>
        <w:ind w:firstLine="600"/>
        <w:jc w:val="both"/>
      </w:pPr>
      <w:r>
        <w:rPr>
          <w:rFonts w:ascii="微软雅黑" w:hAnsi="微软雅黑" w:eastAsia="微软雅黑" w:cs="微软雅黑"/>
          <w:color w:val="000000"/>
          <w:sz w:val="32"/>
        </w:rPr>
        <w:t>12. 我国加快建设世界重要人才中心和创新高地，要形成（  ）个国际人才高地。</w:t>
      </w:r>
    </w:p>
    <w:p w14:paraId="63E8C84E">
      <w:pPr>
        <w:spacing w:line="280" w:lineRule="auto"/>
        <w:ind w:firstLine="600"/>
        <w:jc w:val="both"/>
      </w:pPr>
      <w:r>
        <w:rPr>
          <w:rFonts w:ascii="微软雅黑" w:hAnsi="微软雅黑" w:eastAsia="微软雅黑" w:cs="微软雅黑"/>
          <w:color w:val="000000"/>
          <w:sz w:val="32"/>
        </w:rPr>
        <w:t>A. 1</w:t>
      </w:r>
    </w:p>
    <w:p w14:paraId="5ED25D45">
      <w:pPr>
        <w:spacing w:line="280" w:lineRule="auto"/>
        <w:ind w:firstLine="600"/>
        <w:jc w:val="both"/>
      </w:pPr>
      <w:r>
        <w:rPr>
          <w:rFonts w:ascii="微软雅黑" w:hAnsi="微软雅黑" w:eastAsia="微软雅黑" w:cs="微软雅黑"/>
          <w:color w:val="000000"/>
          <w:sz w:val="32"/>
        </w:rPr>
        <w:t>B. 2</w:t>
      </w:r>
    </w:p>
    <w:p w14:paraId="060D32F1">
      <w:pPr>
        <w:spacing w:line="280" w:lineRule="auto"/>
        <w:ind w:firstLine="600"/>
        <w:jc w:val="both"/>
      </w:pPr>
      <w:r>
        <w:rPr>
          <w:rFonts w:ascii="微软雅黑" w:hAnsi="微软雅黑" w:eastAsia="微软雅黑" w:cs="微软雅黑"/>
          <w:color w:val="000000"/>
          <w:sz w:val="32"/>
        </w:rPr>
        <w:t>C. 3</w:t>
      </w:r>
    </w:p>
    <w:p w14:paraId="43AD4ABE">
      <w:pPr>
        <w:spacing w:line="280" w:lineRule="auto"/>
        <w:ind w:firstLine="600"/>
        <w:jc w:val="both"/>
      </w:pPr>
      <w:r>
        <w:rPr>
          <w:rFonts w:ascii="微软雅黑" w:hAnsi="微软雅黑" w:eastAsia="微软雅黑" w:cs="微软雅黑"/>
          <w:color w:val="000000"/>
          <w:sz w:val="32"/>
        </w:rPr>
        <w:t>D. 4</w:t>
      </w:r>
    </w:p>
    <w:p w14:paraId="00108DDF">
      <w:pPr>
        <w:spacing w:line="280" w:lineRule="auto"/>
        <w:ind w:firstLine="600"/>
        <w:jc w:val="both"/>
      </w:pPr>
      <w:r>
        <w:rPr>
          <w:rFonts w:ascii="微软雅黑" w:hAnsi="微软雅黑" w:eastAsia="微软雅黑" w:cs="微软雅黑"/>
          <w:color w:val="000000"/>
          <w:sz w:val="32"/>
        </w:rPr>
        <w:t>答案：C</w:t>
      </w:r>
    </w:p>
    <w:p w14:paraId="66909D01">
      <w:pPr>
        <w:spacing w:line="280" w:lineRule="auto"/>
        <w:ind w:firstLine="600"/>
        <w:jc w:val="both"/>
      </w:pPr>
      <w:r>
        <w:rPr>
          <w:rFonts w:ascii="微软雅黑" w:hAnsi="微软雅黑" w:eastAsia="微软雅黑" w:cs="微软雅黑"/>
          <w:color w:val="000000"/>
          <w:sz w:val="32"/>
        </w:rPr>
        <w:t>解析：我国加快建设世界重要人才中心和创新高地，要形成北京、上海、粤港澳大湾区 3 个国际人才高地。</w:t>
      </w:r>
    </w:p>
    <w:p w14:paraId="0AC1E75F">
      <w:pPr>
        <w:spacing w:line="280" w:lineRule="auto"/>
        <w:ind w:firstLine="600"/>
        <w:jc w:val="both"/>
      </w:pPr>
      <w:r>
        <w:rPr>
          <w:rFonts w:ascii="微软雅黑" w:hAnsi="微软雅黑" w:eastAsia="微软雅黑" w:cs="微软雅黑"/>
          <w:color w:val="000000"/>
          <w:sz w:val="32"/>
        </w:rPr>
        <w:t>13. 2024 年我国新能源汽车产销量连续（  ）年位居全球第一。</w:t>
      </w:r>
    </w:p>
    <w:p w14:paraId="74CF5A0C">
      <w:pPr>
        <w:spacing w:line="280" w:lineRule="auto"/>
        <w:ind w:firstLine="600"/>
        <w:jc w:val="both"/>
      </w:pPr>
      <w:r>
        <w:rPr>
          <w:rFonts w:ascii="微软雅黑" w:hAnsi="微软雅黑" w:eastAsia="微软雅黑" w:cs="微软雅黑"/>
          <w:color w:val="000000"/>
          <w:sz w:val="32"/>
        </w:rPr>
        <w:t>A. 7</w:t>
      </w:r>
    </w:p>
    <w:p w14:paraId="5E638E8E">
      <w:pPr>
        <w:spacing w:line="280" w:lineRule="auto"/>
        <w:ind w:firstLine="600"/>
        <w:jc w:val="both"/>
      </w:pPr>
      <w:r>
        <w:rPr>
          <w:rFonts w:ascii="微软雅黑" w:hAnsi="微软雅黑" w:eastAsia="微软雅黑" w:cs="微软雅黑"/>
          <w:color w:val="000000"/>
          <w:sz w:val="32"/>
        </w:rPr>
        <w:t>B. 8</w:t>
      </w:r>
    </w:p>
    <w:p w14:paraId="553B3F39">
      <w:pPr>
        <w:spacing w:line="280" w:lineRule="auto"/>
        <w:ind w:firstLine="600"/>
        <w:jc w:val="both"/>
      </w:pPr>
      <w:r>
        <w:rPr>
          <w:rFonts w:ascii="微软雅黑" w:hAnsi="微软雅黑" w:eastAsia="微软雅黑" w:cs="微软雅黑"/>
          <w:color w:val="000000"/>
          <w:sz w:val="32"/>
        </w:rPr>
        <w:t>C. 9</w:t>
      </w:r>
    </w:p>
    <w:p w14:paraId="46C2B945">
      <w:pPr>
        <w:spacing w:line="280" w:lineRule="auto"/>
        <w:ind w:firstLine="600"/>
        <w:jc w:val="both"/>
      </w:pPr>
      <w:r>
        <w:rPr>
          <w:rFonts w:ascii="微软雅黑" w:hAnsi="微软雅黑" w:eastAsia="微软雅黑" w:cs="微软雅黑"/>
          <w:color w:val="000000"/>
          <w:sz w:val="32"/>
        </w:rPr>
        <w:t>D. 10</w:t>
      </w:r>
    </w:p>
    <w:p w14:paraId="79EE4BC6">
      <w:pPr>
        <w:spacing w:line="280" w:lineRule="auto"/>
        <w:ind w:firstLine="600"/>
        <w:jc w:val="both"/>
      </w:pPr>
      <w:r>
        <w:rPr>
          <w:rFonts w:ascii="微软雅黑" w:hAnsi="微软雅黑" w:eastAsia="微软雅黑" w:cs="微软雅黑"/>
          <w:color w:val="000000"/>
          <w:sz w:val="32"/>
        </w:rPr>
        <w:t>答案：C</w:t>
      </w:r>
    </w:p>
    <w:p w14:paraId="5E451416">
      <w:pPr>
        <w:spacing w:line="280" w:lineRule="auto"/>
        <w:ind w:firstLine="600"/>
        <w:jc w:val="both"/>
      </w:pPr>
      <w:r>
        <w:rPr>
          <w:rFonts w:ascii="微软雅黑" w:hAnsi="微软雅黑" w:eastAsia="微软雅黑" w:cs="微软雅黑"/>
          <w:color w:val="000000"/>
          <w:sz w:val="32"/>
        </w:rPr>
        <w:t>解析：2024 年我国新能源汽车产销量连续 9 年位居全球第一，体现了我国在新能源汽车领域的领先地位。</w:t>
      </w:r>
    </w:p>
    <w:p w14:paraId="499ACE66">
      <w:pPr>
        <w:spacing w:line="280" w:lineRule="auto"/>
        <w:ind w:firstLine="600"/>
        <w:jc w:val="both"/>
      </w:pPr>
      <w:r>
        <w:rPr>
          <w:rFonts w:ascii="微软雅黑" w:hAnsi="微软雅黑" w:eastAsia="微软雅黑" w:cs="微软雅黑"/>
          <w:color w:val="000000"/>
          <w:sz w:val="32"/>
        </w:rPr>
        <w:t>14. 我国发展全过程人民民主，必须坚持的根本政治制度是（  ）。</w:t>
      </w:r>
    </w:p>
    <w:p w14:paraId="7353290E">
      <w:pPr>
        <w:spacing w:line="280" w:lineRule="auto"/>
        <w:ind w:firstLine="600"/>
        <w:jc w:val="both"/>
      </w:pPr>
      <w:r>
        <w:rPr>
          <w:rFonts w:ascii="微软雅黑" w:hAnsi="微软雅黑" w:eastAsia="微软雅黑" w:cs="微软雅黑"/>
          <w:color w:val="000000"/>
          <w:sz w:val="32"/>
        </w:rPr>
        <w:t>A. 中国共产党领导的多党合作和政治协商制度</w:t>
      </w:r>
    </w:p>
    <w:p w14:paraId="1673C8B2">
      <w:pPr>
        <w:spacing w:line="280" w:lineRule="auto"/>
        <w:ind w:firstLine="600"/>
        <w:jc w:val="both"/>
      </w:pPr>
      <w:r>
        <w:rPr>
          <w:rFonts w:ascii="微软雅黑" w:hAnsi="微软雅黑" w:eastAsia="微软雅黑" w:cs="微软雅黑"/>
          <w:color w:val="000000"/>
          <w:sz w:val="32"/>
        </w:rPr>
        <w:t>B. 民族区域自治制度</w:t>
      </w:r>
    </w:p>
    <w:p w14:paraId="16E95070">
      <w:pPr>
        <w:spacing w:line="280" w:lineRule="auto"/>
        <w:ind w:firstLine="600"/>
        <w:jc w:val="both"/>
      </w:pPr>
      <w:r>
        <w:rPr>
          <w:rFonts w:ascii="微软雅黑" w:hAnsi="微软雅黑" w:eastAsia="微软雅黑" w:cs="微软雅黑"/>
          <w:color w:val="000000"/>
          <w:sz w:val="32"/>
        </w:rPr>
        <w:t>C. 基层群众自治制度</w:t>
      </w:r>
    </w:p>
    <w:p w14:paraId="4343CC4B">
      <w:pPr>
        <w:spacing w:line="280" w:lineRule="auto"/>
        <w:ind w:firstLine="600"/>
        <w:jc w:val="both"/>
      </w:pPr>
      <w:r>
        <w:rPr>
          <w:rFonts w:ascii="微软雅黑" w:hAnsi="微软雅黑" w:eastAsia="微软雅黑" w:cs="微软雅黑"/>
          <w:color w:val="000000"/>
          <w:sz w:val="32"/>
        </w:rPr>
        <w:t>D. 人民代表大会制度</w:t>
      </w:r>
    </w:p>
    <w:p w14:paraId="4BFBFE90">
      <w:pPr>
        <w:spacing w:line="280" w:lineRule="auto"/>
        <w:ind w:firstLine="600"/>
        <w:jc w:val="both"/>
      </w:pPr>
      <w:r>
        <w:rPr>
          <w:rFonts w:ascii="微软雅黑" w:hAnsi="微软雅黑" w:eastAsia="微软雅黑" w:cs="微软雅黑"/>
          <w:color w:val="000000"/>
          <w:sz w:val="32"/>
        </w:rPr>
        <w:t>答案：D</w:t>
      </w:r>
    </w:p>
    <w:p w14:paraId="3A945547">
      <w:pPr>
        <w:spacing w:line="280" w:lineRule="auto"/>
        <w:ind w:firstLine="600"/>
        <w:jc w:val="both"/>
      </w:pPr>
      <w:r>
        <w:rPr>
          <w:rFonts w:ascii="微软雅黑" w:hAnsi="微软雅黑" w:eastAsia="微软雅黑" w:cs="微软雅黑"/>
          <w:color w:val="000000"/>
          <w:sz w:val="32"/>
        </w:rPr>
        <w:t>解析：人民代表大会制度是我国的根本政治制度，是我国发展全过程人民民主的重要制度载体。</w:t>
      </w:r>
    </w:p>
    <w:p w14:paraId="448400FF">
      <w:pPr>
        <w:spacing w:line="280" w:lineRule="auto"/>
        <w:ind w:firstLine="600"/>
        <w:jc w:val="both"/>
      </w:pPr>
      <w:r>
        <w:rPr>
          <w:rFonts w:ascii="微软雅黑" w:hAnsi="微软雅黑" w:eastAsia="微软雅黑" w:cs="微软雅黑"/>
          <w:color w:val="000000"/>
          <w:sz w:val="32"/>
        </w:rPr>
        <w:t>15. 以下哪个国际组织是我国参与全球经济治理的重要平台（  ）。</w:t>
      </w:r>
    </w:p>
    <w:p w14:paraId="40E6E715">
      <w:pPr>
        <w:spacing w:line="280" w:lineRule="auto"/>
        <w:ind w:firstLine="600"/>
        <w:jc w:val="both"/>
      </w:pPr>
      <w:r>
        <w:rPr>
          <w:rFonts w:ascii="微软雅黑" w:hAnsi="微软雅黑" w:eastAsia="微软雅黑" w:cs="微软雅黑"/>
          <w:color w:val="000000"/>
          <w:sz w:val="32"/>
        </w:rPr>
        <w:t>A. 世界卫生组织</w:t>
      </w:r>
    </w:p>
    <w:p w14:paraId="7D4A5A5D">
      <w:pPr>
        <w:spacing w:line="280" w:lineRule="auto"/>
        <w:ind w:firstLine="600"/>
        <w:jc w:val="both"/>
      </w:pPr>
      <w:r>
        <w:rPr>
          <w:rFonts w:ascii="微软雅黑" w:hAnsi="微软雅黑" w:eastAsia="微软雅黑" w:cs="微软雅黑"/>
          <w:color w:val="000000"/>
          <w:sz w:val="32"/>
        </w:rPr>
        <w:t>B. 国际货币基金组织</w:t>
      </w:r>
    </w:p>
    <w:p w14:paraId="554B4B42">
      <w:pPr>
        <w:spacing w:line="280" w:lineRule="auto"/>
        <w:ind w:firstLine="600"/>
        <w:jc w:val="both"/>
      </w:pPr>
      <w:r>
        <w:rPr>
          <w:rFonts w:ascii="微软雅黑" w:hAnsi="微软雅黑" w:eastAsia="微软雅黑" w:cs="微软雅黑"/>
          <w:color w:val="000000"/>
          <w:sz w:val="32"/>
        </w:rPr>
        <w:t>C. 国际奥委会</w:t>
      </w:r>
    </w:p>
    <w:p w14:paraId="681858E5">
      <w:pPr>
        <w:spacing w:line="280" w:lineRule="auto"/>
        <w:ind w:firstLine="600"/>
        <w:jc w:val="both"/>
      </w:pPr>
      <w:r>
        <w:rPr>
          <w:rFonts w:ascii="微软雅黑" w:hAnsi="微软雅黑" w:eastAsia="微软雅黑" w:cs="微软雅黑"/>
          <w:color w:val="000000"/>
          <w:sz w:val="32"/>
        </w:rPr>
        <w:t>D. 国际红十字会</w:t>
      </w:r>
    </w:p>
    <w:p w14:paraId="4BCBFD9A">
      <w:pPr>
        <w:spacing w:line="280" w:lineRule="auto"/>
        <w:ind w:firstLine="600"/>
        <w:jc w:val="both"/>
      </w:pPr>
      <w:r>
        <w:rPr>
          <w:rFonts w:ascii="微软雅黑" w:hAnsi="微软雅黑" w:eastAsia="微软雅黑" w:cs="微软雅黑"/>
          <w:color w:val="000000"/>
          <w:sz w:val="32"/>
        </w:rPr>
        <w:t>答案：B</w:t>
      </w:r>
    </w:p>
    <w:p w14:paraId="20FE2CA0">
      <w:pPr>
        <w:spacing w:line="280" w:lineRule="auto"/>
        <w:ind w:firstLine="600"/>
        <w:jc w:val="both"/>
      </w:pPr>
      <w:r>
        <w:rPr>
          <w:rFonts w:ascii="微软雅黑" w:hAnsi="微软雅黑" w:eastAsia="微软雅黑" w:cs="微软雅黑"/>
          <w:color w:val="000000"/>
          <w:sz w:val="32"/>
        </w:rPr>
        <w:t>解析：国际货币基金组织是国际金融领域的重要组织，我国通过参与其活动，在全球经济治理中发挥着重要作用。</w:t>
      </w:r>
    </w:p>
    <w:p w14:paraId="39AC8F76">
      <w:pPr>
        <w:pStyle w:val="3"/>
        <w:spacing w:line="280" w:lineRule="auto"/>
        <w:ind w:firstLine="600"/>
      </w:pPr>
      <w:r>
        <w:rPr>
          <w:rFonts w:ascii="微软雅黑" w:hAnsi="微软雅黑" w:eastAsia="微软雅黑" w:cs="微软雅黑"/>
          <w:color w:val="000000"/>
          <w:sz w:val="32"/>
        </w:rPr>
        <w:t>二、填空题（每题 2 分，共 20 分）</w:t>
      </w:r>
    </w:p>
    <w:p w14:paraId="1DB5A9F8">
      <w:pPr>
        <w:spacing w:line="280" w:lineRule="auto"/>
        <w:ind w:firstLine="600"/>
        <w:jc w:val="both"/>
      </w:pPr>
      <w:r>
        <w:rPr>
          <w:rFonts w:ascii="微软雅黑" w:hAnsi="微软雅黑" w:eastAsia="微软雅黑" w:cs="微软雅黑"/>
          <w:color w:val="000000"/>
          <w:sz w:val="32"/>
        </w:rPr>
        <w:t>1. 我国要加快建设以实体经济为支撑的现代化产业体系，打造具有（  ）、（  ）、（  ）的现代化产业体系。</w:t>
      </w:r>
    </w:p>
    <w:p w14:paraId="61CBB570">
      <w:pPr>
        <w:spacing w:line="280" w:lineRule="auto"/>
        <w:ind w:firstLine="600"/>
        <w:jc w:val="both"/>
      </w:pPr>
      <w:r>
        <w:rPr>
          <w:rFonts w:ascii="微软雅黑" w:hAnsi="微软雅黑" w:eastAsia="微软雅黑" w:cs="微软雅黑"/>
          <w:color w:val="000000"/>
          <w:sz w:val="32"/>
        </w:rPr>
        <w:t>答案：完整性、先进性、安全性</w:t>
      </w:r>
    </w:p>
    <w:p w14:paraId="0B1C6252">
      <w:pPr>
        <w:spacing w:line="280" w:lineRule="auto"/>
        <w:ind w:firstLine="600"/>
        <w:jc w:val="both"/>
      </w:pPr>
      <w:r>
        <w:rPr>
          <w:rFonts w:ascii="微软雅黑" w:hAnsi="微软雅黑" w:eastAsia="微软雅黑" w:cs="微软雅黑"/>
          <w:color w:val="000000"/>
          <w:sz w:val="32"/>
        </w:rPr>
        <w:t>解析：完整性强调产业体系的全面覆盖和协同发展；先进性体现了产业的技术水平和创新能力；安全性保障了产业在面对各种风险时的稳定运行。</w:t>
      </w:r>
    </w:p>
    <w:p w14:paraId="3DD3906F">
      <w:pPr>
        <w:spacing w:line="280" w:lineRule="auto"/>
        <w:ind w:firstLine="600"/>
        <w:jc w:val="both"/>
      </w:pPr>
      <w:r>
        <w:rPr>
          <w:rFonts w:ascii="微软雅黑" w:hAnsi="微软雅黑" w:eastAsia="微软雅黑" w:cs="微软雅黑"/>
          <w:color w:val="000000"/>
          <w:sz w:val="32"/>
        </w:rPr>
        <w:t>2. 2024 年我国启动了（  ）计划，旨在加强基础研究人才培养。</w:t>
      </w:r>
    </w:p>
    <w:p w14:paraId="32F296F0">
      <w:pPr>
        <w:spacing w:line="280" w:lineRule="auto"/>
        <w:ind w:firstLine="600"/>
        <w:jc w:val="both"/>
      </w:pPr>
      <w:r>
        <w:rPr>
          <w:rFonts w:ascii="微软雅黑" w:hAnsi="微软雅黑" w:eastAsia="微软雅黑" w:cs="微软雅黑"/>
          <w:color w:val="000000"/>
          <w:sz w:val="32"/>
        </w:rPr>
        <w:t>答案：基础学科拔尖学生培养</w:t>
      </w:r>
    </w:p>
    <w:p w14:paraId="5B823D36">
      <w:pPr>
        <w:spacing w:line="280" w:lineRule="auto"/>
        <w:ind w:firstLine="600"/>
        <w:jc w:val="both"/>
      </w:pPr>
      <w:r>
        <w:rPr>
          <w:rFonts w:ascii="微软雅黑" w:hAnsi="微软雅黑" w:eastAsia="微软雅黑" w:cs="微软雅黑"/>
          <w:color w:val="000000"/>
          <w:sz w:val="32"/>
        </w:rPr>
        <w:t>解析：该计划聚焦基础学科，选拔培养有志于服务国家重大战略需求且综合素质优秀或基础学科拔尖的学生。</w:t>
      </w:r>
    </w:p>
    <w:p w14:paraId="2D80D634">
      <w:pPr>
        <w:spacing w:line="280" w:lineRule="auto"/>
        <w:ind w:firstLine="600"/>
        <w:jc w:val="both"/>
      </w:pPr>
      <w:r>
        <w:rPr>
          <w:rFonts w:ascii="微软雅黑" w:hAnsi="微软雅黑" w:eastAsia="微软雅黑" w:cs="微软雅黑"/>
          <w:color w:val="000000"/>
          <w:sz w:val="32"/>
        </w:rPr>
        <w:t>3. 我国构建新发展格局的关键在于实现（  ）的畅通无阻。</w:t>
      </w:r>
    </w:p>
    <w:p w14:paraId="6B282766">
      <w:pPr>
        <w:spacing w:line="280" w:lineRule="auto"/>
        <w:ind w:firstLine="600"/>
        <w:jc w:val="both"/>
      </w:pPr>
      <w:r>
        <w:rPr>
          <w:rFonts w:ascii="微软雅黑" w:hAnsi="微软雅黑" w:eastAsia="微软雅黑" w:cs="微软雅黑"/>
          <w:color w:val="000000"/>
          <w:sz w:val="32"/>
        </w:rPr>
        <w:t>答案：经济循环</w:t>
      </w:r>
    </w:p>
    <w:p w14:paraId="51DF6130">
      <w:pPr>
        <w:spacing w:line="280" w:lineRule="auto"/>
        <w:ind w:firstLine="600"/>
        <w:jc w:val="both"/>
      </w:pPr>
      <w:r>
        <w:rPr>
          <w:rFonts w:ascii="微软雅黑" w:hAnsi="微软雅黑" w:eastAsia="微软雅黑" w:cs="微软雅黑"/>
          <w:color w:val="000000"/>
          <w:sz w:val="32"/>
        </w:rPr>
        <w:t>解析：经济循环畅通无阻是构建新发展格局的关键，能够促进生产、分配、流通、消费各环节有机衔接。</w:t>
      </w:r>
    </w:p>
    <w:p w14:paraId="0C68F0DC">
      <w:pPr>
        <w:spacing w:line="280" w:lineRule="auto"/>
        <w:ind w:firstLine="600"/>
        <w:jc w:val="both"/>
      </w:pPr>
      <w:r>
        <w:rPr>
          <w:rFonts w:ascii="微软雅黑" w:hAnsi="微软雅黑" w:eastAsia="微软雅黑" w:cs="微软雅黑"/>
          <w:color w:val="000000"/>
          <w:sz w:val="32"/>
        </w:rPr>
        <w:t>4. 共建“一带一路”高质量发展，要聚焦（  ）、（  ）、（  ）三大领域。</w:t>
      </w:r>
    </w:p>
    <w:p w14:paraId="31D949DD">
      <w:pPr>
        <w:spacing w:line="280" w:lineRule="auto"/>
        <w:ind w:firstLine="600"/>
        <w:jc w:val="both"/>
      </w:pPr>
      <w:r>
        <w:rPr>
          <w:rFonts w:ascii="微软雅黑" w:hAnsi="微软雅黑" w:eastAsia="微软雅黑" w:cs="微软雅黑"/>
          <w:color w:val="000000"/>
          <w:sz w:val="32"/>
        </w:rPr>
        <w:t>答案：基础设施、贸易投资、人文交流</w:t>
      </w:r>
    </w:p>
    <w:p w14:paraId="5DBC070E">
      <w:pPr>
        <w:spacing w:line="280" w:lineRule="auto"/>
        <w:ind w:firstLine="600"/>
        <w:jc w:val="both"/>
      </w:pPr>
      <w:r>
        <w:rPr>
          <w:rFonts w:ascii="微软雅黑" w:hAnsi="微软雅黑" w:eastAsia="微软雅黑" w:cs="微软雅黑"/>
          <w:color w:val="000000"/>
          <w:sz w:val="32"/>
        </w:rPr>
        <w:t>解析：基础设施建设是互联互通的基础；贸易投资促进经济合作与发展；人文交流增进各国人民的相互了解和友谊。</w:t>
      </w:r>
    </w:p>
    <w:p w14:paraId="337D8497">
      <w:pPr>
        <w:spacing w:line="280" w:lineRule="auto"/>
        <w:ind w:firstLine="600"/>
        <w:jc w:val="both"/>
      </w:pPr>
      <w:r>
        <w:rPr>
          <w:rFonts w:ascii="微软雅黑" w:hAnsi="微软雅黑" w:eastAsia="微软雅黑" w:cs="微软雅黑"/>
          <w:color w:val="000000"/>
          <w:sz w:val="32"/>
        </w:rPr>
        <w:t>5. 我国推进教育强国建设，要以（  ）为根本任务，培养德智体美劳全面发展的社会主义建设者和接班人。</w:t>
      </w:r>
    </w:p>
    <w:p w14:paraId="3FAF9940">
      <w:pPr>
        <w:spacing w:line="280" w:lineRule="auto"/>
        <w:ind w:firstLine="600"/>
        <w:jc w:val="both"/>
      </w:pPr>
      <w:r>
        <w:rPr>
          <w:rFonts w:ascii="微软雅黑" w:hAnsi="微软雅黑" w:eastAsia="微软雅黑" w:cs="微软雅黑"/>
          <w:color w:val="000000"/>
          <w:sz w:val="32"/>
        </w:rPr>
        <w:t>答案：立德树人</w:t>
      </w:r>
    </w:p>
    <w:p w14:paraId="16E33BB2">
      <w:pPr>
        <w:spacing w:line="280" w:lineRule="auto"/>
        <w:ind w:firstLine="600"/>
        <w:jc w:val="both"/>
      </w:pPr>
      <w:r>
        <w:rPr>
          <w:rFonts w:ascii="微软雅黑" w:hAnsi="微软雅黑" w:eastAsia="微软雅黑" w:cs="微软雅黑"/>
          <w:color w:val="000000"/>
          <w:sz w:val="32"/>
        </w:rPr>
        <w:t>解析：立德树人是教育的根本任务，强调培养学生的品德和才能。</w:t>
      </w:r>
    </w:p>
    <w:p w14:paraId="1B8009F8">
      <w:pPr>
        <w:spacing w:line="280" w:lineRule="auto"/>
        <w:ind w:firstLine="600"/>
        <w:jc w:val="both"/>
      </w:pPr>
      <w:r>
        <w:rPr>
          <w:rFonts w:ascii="微软雅黑" w:hAnsi="微软雅黑" w:eastAsia="微软雅黑" w:cs="微软雅黑"/>
          <w:color w:val="000000"/>
          <w:sz w:val="32"/>
        </w:rPr>
        <w:t>6. 2024 年我国启动了“（  ）”行动，以促进中小企业数字化转型。</w:t>
      </w:r>
    </w:p>
    <w:p w14:paraId="0AA4A544">
      <w:pPr>
        <w:spacing w:line="280" w:lineRule="auto"/>
        <w:ind w:firstLine="600"/>
        <w:jc w:val="both"/>
      </w:pPr>
      <w:r>
        <w:rPr>
          <w:rFonts w:ascii="微软雅黑" w:hAnsi="微软雅黑" w:eastAsia="微软雅黑" w:cs="微软雅黑"/>
          <w:color w:val="000000"/>
          <w:sz w:val="32"/>
        </w:rPr>
        <w:t>答案：中小企业数字化赋能</w:t>
      </w:r>
    </w:p>
    <w:p w14:paraId="55E4189C">
      <w:pPr>
        <w:spacing w:line="280" w:lineRule="auto"/>
        <w:ind w:firstLine="600"/>
        <w:jc w:val="both"/>
      </w:pPr>
      <w:r>
        <w:rPr>
          <w:rFonts w:ascii="微软雅黑" w:hAnsi="微软雅黑" w:eastAsia="微软雅黑" w:cs="微软雅黑"/>
          <w:color w:val="000000"/>
          <w:sz w:val="32"/>
        </w:rPr>
        <w:t>解析：该行动旨在提升中小企业数字化水平，增强其竞争力。</w:t>
      </w:r>
    </w:p>
    <w:p w14:paraId="090DBB90">
      <w:pPr>
        <w:spacing w:line="280" w:lineRule="auto"/>
        <w:ind w:firstLine="600"/>
        <w:jc w:val="both"/>
      </w:pPr>
      <w:r>
        <w:rPr>
          <w:rFonts w:ascii="微软雅黑" w:hAnsi="微软雅黑" w:eastAsia="微软雅黑" w:cs="微软雅黑"/>
          <w:color w:val="000000"/>
          <w:sz w:val="32"/>
        </w:rPr>
        <w:t>7. 我国要加强生态环境保护，坚持山水林田湖草沙（  ）保护和系统治理。</w:t>
      </w:r>
    </w:p>
    <w:p w14:paraId="1BFDD1C7">
      <w:pPr>
        <w:spacing w:line="280" w:lineRule="auto"/>
        <w:ind w:firstLine="600"/>
        <w:jc w:val="both"/>
      </w:pPr>
      <w:r>
        <w:rPr>
          <w:rFonts w:ascii="微软雅黑" w:hAnsi="微软雅黑" w:eastAsia="微软雅黑" w:cs="微软雅黑"/>
          <w:color w:val="000000"/>
          <w:sz w:val="32"/>
        </w:rPr>
        <w:t>答案：一体化</w:t>
      </w:r>
    </w:p>
    <w:p w14:paraId="355E4664">
      <w:pPr>
        <w:spacing w:line="280" w:lineRule="auto"/>
        <w:ind w:firstLine="600"/>
        <w:jc w:val="both"/>
      </w:pPr>
      <w:r>
        <w:rPr>
          <w:rFonts w:ascii="微软雅黑" w:hAnsi="微软雅黑" w:eastAsia="微软雅黑" w:cs="微软雅黑"/>
          <w:color w:val="000000"/>
          <w:sz w:val="32"/>
        </w:rPr>
        <w:t>解析：山水林田湖草沙是一个生命共同体，一体化保护和系统治理能够实现生态系统的整体优化。</w:t>
      </w:r>
    </w:p>
    <w:p w14:paraId="1E33FBA0">
      <w:pPr>
        <w:spacing w:line="280" w:lineRule="auto"/>
        <w:ind w:firstLine="600"/>
        <w:jc w:val="both"/>
      </w:pPr>
      <w:r>
        <w:rPr>
          <w:rFonts w:ascii="微软雅黑" w:hAnsi="微软雅黑" w:eastAsia="微软雅黑" w:cs="微软雅黑"/>
          <w:color w:val="000000"/>
          <w:sz w:val="32"/>
        </w:rPr>
        <w:t>8. 我国推动长江经济带发展，要坚持（  ）、不搞大开发。</w:t>
      </w:r>
    </w:p>
    <w:p w14:paraId="60E9B477">
      <w:pPr>
        <w:spacing w:line="280" w:lineRule="auto"/>
        <w:ind w:firstLine="600"/>
        <w:jc w:val="both"/>
      </w:pPr>
      <w:r>
        <w:rPr>
          <w:rFonts w:ascii="微软雅黑" w:hAnsi="微软雅黑" w:eastAsia="微软雅黑" w:cs="微软雅黑"/>
          <w:color w:val="000000"/>
          <w:sz w:val="32"/>
        </w:rPr>
        <w:t>答案：生态优先、绿色发展</w:t>
      </w:r>
    </w:p>
    <w:p w14:paraId="31DEDE21">
      <w:pPr>
        <w:spacing w:line="280" w:lineRule="auto"/>
        <w:ind w:firstLine="600"/>
        <w:jc w:val="both"/>
      </w:pPr>
      <w:r>
        <w:rPr>
          <w:rFonts w:ascii="微软雅黑" w:hAnsi="微软雅黑" w:eastAsia="微软雅黑" w:cs="微软雅黑"/>
          <w:color w:val="000000"/>
          <w:sz w:val="32"/>
        </w:rPr>
        <w:t>解析：这一原则强调在长江经济带发展中，要把生态环境保护放在首位，实现经济与生态的协调发展。</w:t>
      </w:r>
    </w:p>
    <w:p w14:paraId="5CE3DF4B">
      <w:pPr>
        <w:spacing w:line="280" w:lineRule="auto"/>
        <w:ind w:firstLine="600"/>
        <w:jc w:val="both"/>
      </w:pPr>
      <w:r>
        <w:rPr>
          <w:rFonts w:ascii="微软雅黑" w:hAnsi="微软雅黑" w:eastAsia="微软雅黑" w:cs="微软雅黑"/>
          <w:color w:val="000000"/>
          <w:sz w:val="32"/>
        </w:rPr>
        <w:t>9. 2024 年我国启动了新一轮（  ）改革，以提升国有企业核心竞争力。</w:t>
      </w:r>
    </w:p>
    <w:p w14:paraId="26DA1C6F">
      <w:pPr>
        <w:spacing w:line="280" w:lineRule="auto"/>
        <w:ind w:firstLine="600"/>
        <w:jc w:val="both"/>
      </w:pPr>
      <w:r>
        <w:rPr>
          <w:rFonts w:ascii="微软雅黑" w:hAnsi="微软雅黑" w:eastAsia="微软雅黑" w:cs="微软雅黑"/>
          <w:color w:val="000000"/>
          <w:sz w:val="32"/>
        </w:rPr>
        <w:t>答案：国有企业</w:t>
      </w:r>
    </w:p>
    <w:p w14:paraId="0423A6D9">
      <w:pPr>
        <w:spacing w:line="280" w:lineRule="auto"/>
        <w:ind w:firstLine="600"/>
        <w:jc w:val="both"/>
      </w:pPr>
      <w:r>
        <w:rPr>
          <w:rFonts w:ascii="微软雅黑" w:hAnsi="微软雅黑" w:eastAsia="微软雅黑" w:cs="微软雅黑"/>
          <w:color w:val="000000"/>
          <w:sz w:val="32"/>
        </w:rPr>
        <w:t>解析：通过改革，优化国有企业布局结构，增强其创新能力和市场竞争力。</w:t>
      </w:r>
    </w:p>
    <w:p w14:paraId="21295612">
      <w:pPr>
        <w:spacing w:line="280" w:lineRule="auto"/>
        <w:ind w:firstLine="600"/>
        <w:jc w:val="both"/>
      </w:pPr>
      <w:r>
        <w:rPr>
          <w:rFonts w:ascii="微软雅黑" w:hAnsi="微软雅黑" w:eastAsia="微软雅黑" w:cs="微软雅黑"/>
          <w:color w:val="000000"/>
          <w:sz w:val="32"/>
        </w:rPr>
        <w:t>10. 我国要加强国家安全体系和能力现代化建设，坚持（  ）安全观。</w:t>
      </w:r>
    </w:p>
    <w:p w14:paraId="477EC41B">
      <w:pPr>
        <w:spacing w:line="280" w:lineRule="auto"/>
        <w:ind w:firstLine="600"/>
        <w:jc w:val="both"/>
      </w:pPr>
      <w:r>
        <w:rPr>
          <w:rFonts w:ascii="微软雅黑" w:hAnsi="微软雅黑" w:eastAsia="微软雅黑" w:cs="微软雅黑"/>
          <w:color w:val="000000"/>
          <w:sz w:val="32"/>
        </w:rPr>
        <w:t>答案：总体</w:t>
      </w:r>
    </w:p>
    <w:p w14:paraId="11B326FB">
      <w:pPr>
        <w:spacing w:line="280" w:lineRule="auto"/>
        <w:ind w:firstLine="600"/>
        <w:jc w:val="both"/>
      </w:pPr>
      <w:r>
        <w:rPr>
          <w:rFonts w:ascii="微软雅黑" w:hAnsi="微软雅黑" w:eastAsia="微软雅黑" w:cs="微软雅黑"/>
          <w:color w:val="000000"/>
          <w:sz w:val="32"/>
        </w:rPr>
        <w:t>解析：总体国家安全观强调以人民安全为宗旨，以政治安全为根本，以经济安全为基础等多方面的安全。</w:t>
      </w:r>
    </w:p>
    <w:p w14:paraId="298D227D">
      <w:pPr>
        <w:pStyle w:val="3"/>
        <w:spacing w:line="280" w:lineRule="auto"/>
        <w:ind w:firstLine="600"/>
      </w:pPr>
      <w:r>
        <w:rPr>
          <w:rFonts w:ascii="微软雅黑" w:hAnsi="微软雅黑" w:eastAsia="微软雅黑" w:cs="微软雅黑"/>
          <w:color w:val="000000"/>
          <w:sz w:val="32"/>
        </w:rPr>
        <w:t>三、判断题（每题 2 分，共 20 分）</w:t>
      </w:r>
    </w:p>
    <w:p w14:paraId="349CD8AF">
      <w:pPr>
        <w:spacing w:line="280" w:lineRule="auto"/>
        <w:ind w:firstLine="600"/>
        <w:jc w:val="both"/>
      </w:pPr>
      <w:r>
        <w:rPr>
          <w:rFonts w:ascii="微软雅黑" w:hAnsi="微软雅黑" w:eastAsia="微软雅黑" w:cs="微软雅黑"/>
          <w:color w:val="000000"/>
          <w:sz w:val="32"/>
        </w:rPr>
        <w:t>1. 我国经济已由高速增长阶段转向高质量发展阶段，不再追求经济增长速度。（  ）</w:t>
      </w:r>
    </w:p>
    <w:p w14:paraId="747FC77D">
      <w:pPr>
        <w:spacing w:line="280" w:lineRule="auto"/>
        <w:ind w:firstLine="600"/>
        <w:jc w:val="both"/>
      </w:pPr>
      <w:r>
        <w:rPr>
          <w:rFonts w:ascii="微软雅黑" w:hAnsi="微软雅黑" w:eastAsia="微软雅黑" w:cs="微软雅黑"/>
          <w:color w:val="000000"/>
          <w:sz w:val="32"/>
        </w:rPr>
        <w:t>答案：错误</w:t>
      </w:r>
    </w:p>
    <w:p w14:paraId="2411BF33">
      <w:pPr>
        <w:spacing w:line="280" w:lineRule="auto"/>
        <w:ind w:firstLine="600"/>
        <w:jc w:val="both"/>
      </w:pPr>
      <w:r>
        <w:rPr>
          <w:rFonts w:ascii="微软雅黑" w:hAnsi="微软雅黑" w:eastAsia="微软雅黑" w:cs="微软雅黑"/>
          <w:color w:val="000000"/>
          <w:sz w:val="32"/>
        </w:rPr>
        <w:t>解析：我国经济由高速增长阶段转向高质量发展阶段，但并不是不追求经济增长速度，而是要在保证发展质量的前提下，实现合理的经济增长速度。</w:t>
      </w:r>
    </w:p>
    <w:p w14:paraId="0D4761F4">
      <w:pPr>
        <w:spacing w:line="280" w:lineRule="auto"/>
        <w:ind w:firstLine="600"/>
        <w:jc w:val="both"/>
      </w:pPr>
      <w:r>
        <w:rPr>
          <w:rFonts w:ascii="微软雅黑" w:hAnsi="微软雅黑" w:eastAsia="微软雅黑" w:cs="微软雅黑"/>
          <w:color w:val="000000"/>
          <w:sz w:val="32"/>
        </w:rPr>
        <w:t>2. 数字经济是我国经济发展的新动能，与实体经济没有关联。（  ）</w:t>
      </w:r>
    </w:p>
    <w:p w14:paraId="2ECC2C5B">
      <w:pPr>
        <w:spacing w:line="280" w:lineRule="auto"/>
        <w:ind w:firstLine="600"/>
        <w:jc w:val="both"/>
      </w:pPr>
      <w:r>
        <w:rPr>
          <w:rFonts w:ascii="微软雅黑" w:hAnsi="微软雅黑" w:eastAsia="微软雅黑" w:cs="微软雅黑"/>
          <w:color w:val="000000"/>
          <w:sz w:val="32"/>
        </w:rPr>
        <w:t>答案：错误</w:t>
      </w:r>
    </w:p>
    <w:p w14:paraId="3807EAA4">
      <w:pPr>
        <w:spacing w:line="280" w:lineRule="auto"/>
        <w:ind w:firstLine="600"/>
        <w:jc w:val="both"/>
      </w:pPr>
      <w:r>
        <w:rPr>
          <w:rFonts w:ascii="微软雅黑" w:hAnsi="微软雅黑" w:eastAsia="微软雅黑" w:cs="微软雅黑"/>
          <w:color w:val="000000"/>
          <w:sz w:val="32"/>
        </w:rPr>
        <w:t>解析：数字经济与实体经济深度融合，数字技术可以赋能实体经济，提升实体经济的效率和竞争力，二者相互促进、相辅相成。</w:t>
      </w:r>
    </w:p>
    <w:p w14:paraId="46CFDC37">
      <w:pPr>
        <w:spacing w:line="280" w:lineRule="auto"/>
        <w:ind w:firstLine="600"/>
        <w:jc w:val="both"/>
      </w:pPr>
      <w:r>
        <w:rPr>
          <w:rFonts w:ascii="微软雅黑" w:hAnsi="微软雅黑" w:eastAsia="微软雅黑" w:cs="微软雅黑"/>
          <w:color w:val="000000"/>
          <w:sz w:val="32"/>
        </w:rPr>
        <w:t>3. 我国推进碳达峰碳中和，意味着要立即停止使用煤炭等化石能源。（  ）</w:t>
      </w:r>
    </w:p>
    <w:p w14:paraId="37CE9283">
      <w:pPr>
        <w:spacing w:line="280" w:lineRule="auto"/>
        <w:ind w:firstLine="600"/>
        <w:jc w:val="both"/>
      </w:pPr>
      <w:r>
        <w:rPr>
          <w:rFonts w:ascii="微软雅黑" w:hAnsi="微软雅黑" w:eastAsia="微软雅黑" w:cs="微软雅黑"/>
          <w:color w:val="000000"/>
          <w:sz w:val="32"/>
        </w:rPr>
        <w:t>答案：错误</w:t>
      </w:r>
    </w:p>
    <w:p w14:paraId="5AA42B8F">
      <w:pPr>
        <w:spacing w:line="280" w:lineRule="auto"/>
        <w:ind w:firstLine="600"/>
        <w:jc w:val="both"/>
      </w:pPr>
      <w:r>
        <w:rPr>
          <w:rFonts w:ascii="微软雅黑" w:hAnsi="微软雅黑" w:eastAsia="微软雅黑" w:cs="微软雅黑"/>
          <w:color w:val="000000"/>
          <w:sz w:val="32"/>
        </w:rPr>
        <w:t>解析：我国推进碳达峰碳中和是一个长期的过程，要立足国情，在保障能源安全的前提下，逐步减少化石能源的使用，而不是立即停止使用。</w:t>
      </w:r>
    </w:p>
    <w:p w14:paraId="259AEDC0">
      <w:pPr>
        <w:spacing w:line="280" w:lineRule="auto"/>
        <w:ind w:firstLine="600"/>
        <w:jc w:val="both"/>
      </w:pPr>
      <w:r>
        <w:rPr>
          <w:rFonts w:ascii="微软雅黑" w:hAnsi="微软雅黑" w:eastAsia="微软雅黑" w:cs="微软雅黑"/>
          <w:color w:val="000000"/>
          <w:sz w:val="32"/>
        </w:rPr>
        <w:t>4. 乡村振兴战略只注重农村经济发展，不关注农村生态环境。（  ）</w:t>
      </w:r>
    </w:p>
    <w:p w14:paraId="3A57C58A">
      <w:pPr>
        <w:spacing w:line="280" w:lineRule="auto"/>
        <w:ind w:firstLine="600"/>
        <w:jc w:val="both"/>
      </w:pPr>
      <w:r>
        <w:rPr>
          <w:rFonts w:ascii="微软雅黑" w:hAnsi="微软雅黑" w:eastAsia="微软雅黑" w:cs="微软雅黑"/>
          <w:color w:val="000000"/>
          <w:sz w:val="32"/>
        </w:rPr>
        <w:t>答案：错误</w:t>
      </w:r>
    </w:p>
    <w:p w14:paraId="2EE9D13D">
      <w:pPr>
        <w:spacing w:line="280" w:lineRule="auto"/>
        <w:ind w:firstLine="600"/>
        <w:jc w:val="both"/>
      </w:pPr>
      <w:r>
        <w:rPr>
          <w:rFonts w:ascii="微软雅黑" w:hAnsi="微软雅黑" w:eastAsia="微软雅黑" w:cs="微软雅黑"/>
          <w:color w:val="000000"/>
          <w:sz w:val="32"/>
        </w:rPr>
        <w:t>解析：乡村振兴战略包括产业兴旺、生态宜居、乡风文明、治理有效、生活富裕等多个方面，生态宜居就是关注农村生态环境建设。</w:t>
      </w:r>
    </w:p>
    <w:p w14:paraId="21423B45">
      <w:pPr>
        <w:spacing w:line="280" w:lineRule="auto"/>
        <w:ind w:firstLine="600"/>
        <w:jc w:val="both"/>
      </w:pPr>
      <w:r>
        <w:rPr>
          <w:rFonts w:ascii="微软雅黑" w:hAnsi="微软雅黑" w:eastAsia="微软雅黑" w:cs="微软雅黑"/>
          <w:color w:val="000000"/>
          <w:sz w:val="32"/>
        </w:rPr>
        <w:t>5. 我国推动构建人类命运共同体，只需要关注国际事务，不需要关注国内发展。（  ）</w:t>
      </w:r>
    </w:p>
    <w:p w14:paraId="664CC81B">
      <w:pPr>
        <w:spacing w:line="280" w:lineRule="auto"/>
        <w:ind w:firstLine="600"/>
        <w:jc w:val="both"/>
      </w:pPr>
      <w:r>
        <w:rPr>
          <w:rFonts w:ascii="微软雅黑" w:hAnsi="微软雅黑" w:eastAsia="微软雅黑" w:cs="微软雅黑"/>
          <w:color w:val="000000"/>
          <w:sz w:val="32"/>
        </w:rPr>
        <w:t>答案：错误</w:t>
      </w:r>
    </w:p>
    <w:p w14:paraId="1276289E">
      <w:pPr>
        <w:spacing w:line="280" w:lineRule="auto"/>
        <w:ind w:firstLine="600"/>
        <w:jc w:val="both"/>
      </w:pPr>
      <w:r>
        <w:rPr>
          <w:rFonts w:ascii="微软雅黑" w:hAnsi="微软雅黑" w:eastAsia="微软雅黑" w:cs="微软雅黑"/>
          <w:color w:val="000000"/>
          <w:sz w:val="32"/>
        </w:rPr>
        <w:t>解析：我国推动构建人类命运共同体，要统筹国内国际两个大局，国内发展是基础，为国际合作提供支撑，国际合作也能促进国内发展。</w:t>
      </w:r>
    </w:p>
    <w:p w14:paraId="17B38795">
      <w:pPr>
        <w:spacing w:line="280" w:lineRule="auto"/>
        <w:ind w:firstLine="600"/>
        <w:jc w:val="both"/>
      </w:pPr>
      <w:r>
        <w:rPr>
          <w:rFonts w:ascii="微软雅黑" w:hAnsi="微软雅黑" w:eastAsia="微软雅黑" w:cs="微软雅黑"/>
          <w:color w:val="000000"/>
          <w:sz w:val="32"/>
        </w:rPr>
        <w:t>6. 人工智能技术的发展会完全取代人类的工作。（  ）</w:t>
      </w:r>
    </w:p>
    <w:p w14:paraId="3FB6C9B3">
      <w:pPr>
        <w:spacing w:line="280" w:lineRule="auto"/>
        <w:ind w:firstLine="600"/>
        <w:jc w:val="both"/>
      </w:pPr>
      <w:r>
        <w:rPr>
          <w:rFonts w:ascii="微软雅黑" w:hAnsi="微软雅黑" w:eastAsia="微软雅黑" w:cs="微软雅黑"/>
          <w:color w:val="000000"/>
          <w:sz w:val="32"/>
        </w:rPr>
        <w:t>答案：错误</w:t>
      </w:r>
    </w:p>
    <w:p w14:paraId="7080C2AE">
      <w:pPr>
        <w:spacing w:line="280" w:lineRule="auto"/>
        <w:ind w:firstLine="600"/>
        <w:jc w:val="both"/>
      </w:pPr>
      <w:r>
        <w:rPr>
          <w:rFonts w:ascii="微软雅黑" w:hAnsi="微软雅黑" w:eastAsia="微软雅黑" w:cs="微软雅黑"/>
          <w:color w:val="000000"/>
          <w:sz w:val="32"/>
        </w:rPr>
        <w:t>解析：人工智能技术虽然会对一些工作产生影响，但也会创造新的工作机会，并且人类的创造力、情感交流等能力是人工智能无法替代的。</w:t>
      </w:r>
    </w:p>
    <w:p w14:paraId="56B4D874">
      <w:pPr>
        <w:spacing w:line="280" w:lineRule="auto"/>
        <w:ind w:firstLine="600"/>
        <w:jc w:val="both"/>
      </w:pPr>
      <w:r>
        <w:rPr>
          <w:rFonts w:ascii="微软雅黑" w:hAnsi="微软雅黑" w:eastAsia="微软雅黑" w:cs="微软雅黑"/>
          <w:color w:val="000000"/>
          <w:sz w:val="32"/>
        </w:rPr>
        <w:t>7. 我国加快建设世界重要人才中心和创新高地，只需要引进国外人才。（  ）</w:t>
      </w:r>
    </w:p>
    <w:p w14:paraId="6C4B83F6">
      <w:pPr>
        <w:spacing w:line="280" w:lineRule="auto"/>
        <w:ind w:firstLine="600"/>
        <w:jc w:val="both"/>
      </w:pPr>
      <w:r>
        <w:rPr>
          <w:rFonts w:ascii="微软雅黑" w:hAnsi="微软雅黑" w:eastAsia="微软雅黑" w:cs="微软雅黑"/>
          <w:color w:val="000000"/>
          <w:sz w:val="32"/>
        </w:rPr>
        <w:t>答案：错误</w:t>
      </w:r>
    </w:p>
    <w:p w14:paraId="2E707E19">
      <w:pPr>
        <w:spacing w:line="280" w:lineRule="auto"/>
        <w:ind w:firstLine="600"/>
        <w:jc w:val="both"/>
      </w:pPr>
      <w:r>
        <w:rPr>
          <w:rFonts w:ascii="微软雅黑" w:hAnsi="微软雅黑" w:eastAsia="微软雅黑" w:cs="微软雅黑"/>
          <w:color w:val="000000"/>
          <w:sz w:val="32"/>
        </w:rPr>
        <w:t>解析：我国加快建设世界重要人才中心和创新高地，既要引进国外人才，也要培养本土人才，形成国内国际人才资源的优化配置。</w:t>
      </w:r>
    </w:p>
    <w:p w14:paraId="2E5F7649">
      <w:pPr>
        <w:spacing w:line="280" w:lineRule="auto"/>
        <w:ind w:firstLine="600"/>
        <w:jc w:val="both"/>
      </w:pPr>
      <w:r>
        <w:rPr>
          <w:rFonts w:ascii="微软雅黑" w:hAnsi="微软雅黑" w:eastAsia="微软雅黑" w:cs="微软雅黑"/>
          <w:color w:val="000000"/>
          <w:sz w:val="32"/>
        </w:rPr>
        <w:t>8. 我国发展全过程人民民主，就是要让人民直接参与所有国家事务的决策。（  ）</w:t>
      </w:r>
    </w:p>
    <w:p w14:paraId="05D640DE">
      <w:pPr>
        <w:spacing w:line="280" w:lineRule="auto"/>
        <w:ind w:firstLine="600"/>
        <w:jc w:val="both"/>
      </w:pPr>
      <w:r>
        <w:rPr>
          <w:rFonts w:ascii="微软雅黑" w:hAnsi="微软雅黑" w:eastAsia="微软雅黑" w:cs="微软雅黑"/>
          <w:color w:val="000000"/>
          <w:sz w:val="32"/>
        </w:rPr>
        <w:t>答案：错误</w:t>
      </w:r>
    </w:p>
    <w:p w14:paraId="20AB7688">
      <w:pPr>
        <w:spacing w:line="280" w:lineRule="auto"/>
        <w:ind w:firstLine="600"/>
        <w:jc w:val="both"/>
      </w:pPr>
      <w:r>
        <w:rPr>
          <w:rFonts w:ascii="微软雅黑" w:hAnsi="微软雅黑" w:eastAsia="微软雅黑" w:cs="微软雅黑"/>
          <w:color w:val="000000"/>
          <w:sz w:val="32"/>
        </w:rPr>
        <w:t>解析：我国发展全过程人民民主，人民通过选举、协商、决策、管理、监督等多种方式参与国家事务，但不是直接参与所有国家事务的决策。</w:t>
      </w:r>
    </w:p>
    <w:p w14:paraId="599791EA">
      <w:pPr>
        <w:spacing w:line="280" w:lineRule="auto"/>
        <w:ind w:firstLine="600"/>
        <w:jc w:val="both"/>
      </w:pPr>
      <w:r>
        <w:rPr>
          <w:rFonts w:ascii="微软雅黑" w:hAnsi="微软雅黑" w:eastAsia="微软雅黑" w:cs="微软雅黑"/>
          <w:color w:val="000000"/>
          <w:sz w:val="32"/>
        </w:rPr>
        <w:t>9. 共建“一带一路”倡议只对发展中国家有好处。（  ）</w:t>
      </w:r>
    </w:p>
    <w:p w14:paraId="500B157A">
      <w:pPr>
        <w:spacing w:line="280" w:lineRule="auto"/>
        <w:ind w:firstLine="600"/>
        <w:jc w:val="both"/>
      </w:pPr>
      <w:r>
        <w:rPr>
          <w:rFonts w:ascii="微软雅黑" w:hAnsi="微软雅黑" w:eastAsia="微软雅黑" w:cs="微软雅黑"/>
          <w:color w:val="000000"/>
          <w:sz w:val="32"/>
        </w:rPr>
        <w:t>答案：错误</w:t>
      </w:r>
    </w:p>
    <w:p w14:paraId="0A397ECC">
      <w:pPr>
        <w:spacing w:line="280" w:lineRule="auto"/>
        <w:ind w:firstLine="600"/>
        <w:jc w:val="both"/>
      </w:pPr>
      <w:r>
        <w:rPr>
          <w:rFonts w:ascii="微软雅黑" w:hAnsi="微软雅黑" w:eastAsia="微软雅黑" w:cs="微软雅黑"/>
          <w:color w:val="000000"/>
          <w:sz w:val="32"/>
        </w:rPr>
        <w:t>解析：共建“一带一路”倡议为世界各国提供了发展机遇，无论是发展中国家还是发达国家都能在合作中实现互利共赢。</w:t>
      </w:r>
    </w:p>
    <w:p w14:paraId="2EFA1DE7">
      <w:pPr>
        <w:spacing w:line="280" w:lineRule="auto"/>
        <w:ind w:firstLine="600"/>
        <w:jc w:val="both"/>
      </w:pPr>
      <w:r>
        <w:rPr>
          <w:rFonts w:ascii="微软雅黑" w:hAnsi="微软雅黑" w:eastAsia="微软雅黑" w:cs="微软雅黑"/>
          <w:color w:val="000000"/>
          <w:sz w:val="32"/>
        </w:rPr>
        <w:t>10. 我国加强生态环境保护，会阻碍经济发展。（  ）</w:t>
      </w:r>
    </w:p>
    <w:p w14:paraId="7B30E4BB">
      <w:pPr>
        <w:spacing w:line="280" w:lineRule="auto"/>
        <w:ind w:firstLine="600"/>
        <w:jc w:val="both"/>
      </w:pPr>
      <w:r>
        <w:rPr>
          <w:rFonts w:ascii="微软雅黑" w:hAnsi="微软雅黑" w:eastAsia="微软雅黑" w:cs="微软雅黑"/>
          <w:color w:val="000000"/>
          <w:sz w:val="32"/>
        </w:rPr>
        <w:t>答案：错误</w:t>
      </w:r>
    </w:p>
    <w:p w14:paraId="6BE8AD7B">
      <w:pPr>
        <w:spacing w:line="280" w:lineRule="auto"/>
        <w:ind w:firstLine="600"/>
        <w:jc w:val="both"/>
      </w:pPr>
      <w:r>
        <w:rPr>
          <w:rFonts w:ascii="微软雅黑" w:hAnsi="微软雅黑" w:eastAsia="微软雅黑" w:cs="微软雅黑"/>
          <w:color w:val="000000"/>
          <w:sz w:val="32"/>
        </w:rPr>
        <w:t>解析：加强生态环境保护与经济发展可以相互促进，通过发展绿色产业、提高资源利用效率等方式，实现经济的可持续发展。</w:t>
      </w:r>
    </w:p>
    <w:p w14:paraId="00C2EF86">
      <w:pPr>
        <w:pStyle w:val="3"/>
        <w:spacing w:line="280" w:lineRule="auto"/>
        <w:ind w:firstLine="600"/>
      </w:pPr>
      <w:r>
        <w:rPr>
          <w:rFonts w:ascii="微软雅黑" w:hAnsi="微软雅黑" w:eastAsia="微软雅黑" w:cs="微软雅黑"/>
          <w:color w:val="000000"/>
          <w:sz w:val="32"/>
        </w:rPr>
        <w:t>四、解答题（每题 10 分，共 30 分）</w:t>
      </w:r>
    </w:p>
    <w:p w14:paraId="2A6628F9">
      <w:pPr>
        <w:spacing w:line="280" w:lineRule="auto"/>
        <w:ind w:firstLine="600"/>
        <w:jc w:val="both"/>
      </w:pPr>
      <w:r>
        <w:rPr>
          <w:rFonts w:ascii="微软雅黑" w:hAnsi="微软雅黑" w:eastAsia="微软雅黑" w:cs="微软雅黑"/>
          <w:color w:val="000000"/>
          <w:sz w:val="32"/>
        </w:rPr>
        <w:t>1. 简述我国加快建设现代化产业体系的重要意义。</w:t>
      </w:r>
    </w:p>
    <w:p w14:paraId="0DF53F5F">
      <w:pPr>
        <w:spacing w:line="280" w:lineRule="auto"/>
        <w:ind w:firstLine="600"/>
        <w:jc w:val="both"/>
      </w:pPr>
      <w:r>
        <w:rPr>
          <w:rFonts w:ascii="微软雅黑" w:hAnsi="微软雅黑" w:eastAsia="微软雅黑" w:cs="微软雅黑"/>
          <w:color w:val="000000"/>
          <w:sz w:val="32"/>
        </w:rPr>
        <w:t>答案：</w:t>
      </w:r>
    </w:p>
    <w:p w14:paraId="330556D5">
      <w:pPr>
        <w:spacing w:line="280" w:lineRule="auto"/>
        <w:ind w:firstLine="600"/>
        <w:jc w:val="both"/>
      </w:pPr>
      <w:r>
        <w:rPr>
          <w:rFonts w:ascii="微软雅黑" w:hAnsi="微软雅黑" w:eastAsia="微软雅黑" w:cs="微软雅黑"/>
          <w:color w:val="000000"/>
          <w:sz w:val="32"/>
        </w:rPr>
        <w:t>（1）提升国家竞争力：现代化产业体系具有更高的技术水平和创新能力，能够提高我国产业在全球产业链中的地位，增强国家的经济实力和国际竞争力。</w:t>
      </w:r>
    </w:p>
    <w:p w14:paraId="2F37734F">
      <w:pPr>
        <w:spacing w:line="280" w:lineRule="auto"/>
        <w:ind w:firstLine="600"/>
        <w:jc w:val="both"/>
      </w:pPr>
      <w:r>
        <w:rPr>
          <w:rFonts w:ascii="微软雅黑" w:hAnsi="微软雅黑" w:eastAsia="微软雅黑" w:cs="微软雅黑"/>
          <w:color w:val="000000"/>
          <w:sz w:val="32"/>
        </w:rPr>
        <w:t>（2）推动经济高质量发展：以实体经济为支撑的现代化产业体系，能够实现产业结构的优化升级，提高经济发展的质量和效益，促进经济的可持续增长。</w:t>
      </w:r>
    </w:p>
    <w:p w14:paraId="34A115AF">
      <w:pPr>
        <w:spacing w:line="280" w:lineRule="auto"/>
        <w:ind w:firstLine="600"/>
        <w:jc w:val="both"/>
      </w:pPr>
      <w:r>
        <w:rPr>
          <w:rFonts w:ascii="微软雅黑" w:hAnsi="微软雅黑" w:eastAsia="微软雅黑" w:cs="微软雅黑"/>
          <w:color w:val="000000"/>
          <w:sz w:val="32"/>
        </w:rPr>
        <w:t>（3）保障国家经济安全：完整、先进、安全的现代化产业体系，能够减少对国外产业的依赖，保障关键产业的自主可控，增强国家应对外部风险的能力。</w:t>
      </w:r>
    </w:p>
    <w:p w14:paraId="58E39AC1">
      <w:pPr>
        <w:spacing w:line="280" w:lineRule="auto"/>
        <w:ind w:firstLine="600"/>
        <w:jc w:val="both"/>
      </w:pPr>
      <w:r>
        <w:rPr>
          <w:rFonts w:ascii="微软雅黑" w:hAnsi="微软雅黑" w:eastAsia="微软雅黑" w:cs="微软雅黑"/>
          <w:color w:val="000000"/>
          <w:sz w:val="32"/>
        </w:rPr>
        <w:t>（4）促进就业和民生改善：现代化产业体系的发展会创造更多高质量的就业岗位，提高居民收入水平，改善民生福祉。</w:t>
      </w:r>
    </w:p>
    <w:p w14:paraId="6DEC1602">
      <w:pPr>
        <w:spacing w:line="280" w:lineRule="auto"/>
        <w:ind w:firstLine="600"/>
        <w:jc w:val="both"/>
      </w:pPr>
      <w:r>
        <w:rPr>
          <w:rFonts w:ascii="微软雅黑" w:hAnsi="微软雅黑" w:eastAsia="微软雅黑" w:cs="微软雅黑"/>
          <w:color w:val="000000"/>
          <w:sz w:val="32"/>
        </w:rPr>
        <w:t>（5）推动科技创新：产业体系的现代化需要大量的科技创新支持，同时也为科技创新提供了应用场景和实践平台，促进科技成果的转化和应用。</w:t>
      </w:r>
    </w:p>
    <w:p w14:paraId="7DA6636E">
      <w:pPr>
        <w:spacing w:line="280" w:lineRule="auto"/>
        <w:ind w:firstLine="600"/>
        <w:jc w:val="both"/>
      </w:pPr>
      <w:r>
        <w:rPr>
          <w:rFonts w:ascii="微软雅黑" w:hAnsi="微软雅黑" w:eastAsia="微软雅黑" w:cs="微软雅黑"/>
          <w:color w:val="000000"/>
          <w:sz w:val="32"/>
        </w:rPr>
        <w:t>2. 我国推进碳达峰碳中和面临哪些挑战，应采取哪些应对措施？</w:t>
      </w:r>
    </w:p>
    <w:p w14:paraId="75A186DD">
      <w:pPr>
        <w:spacing w:line="280" w:lineRule="auto"/>
        <w:ind w:firstLine="600"/>
        <w:jc w:val="both"/>
      </w:pPr>
      <w:r>
        <w:rPr>
          <w:rFonts w:ascii="微软雅黑" w:hAnsi="微软雅黑" w:eastAsia="微软雅黑" w:cs="微软雅黑"/>
          <w:color w:val="000000"/>
          <w:sz w:val="32"/>
        </w:rPr>
        <w:t>答案：</w:t>
      </w:r>
    </w:p>
    <w:p w14:paraId="50CDE373">
      <w:pPr>
        <w:spacing w:line="280" w:lineRule="auto"/>
        <w:ind w:firstLine="600"/>
        <w:jc w:val="both"/>
      </w:pPr>
      <w:r>
        <w:rPr>
          <w:rFonts w:ascii="微软雅黑" w:hAnsi="微软雅黑" w:eastAsia="微软雅黑" w:cs="微软雅黑"/>
          <w:color w:val="000000"/>
          <w:sz w:val="32"/>
        </w:rPr>
        <w:t>挑战：</w:t>
      </w:r>
    </w:p>
    <w:p w14:paraId="0D4D90DB">
      <w:pPr>
        <w:spacing w:line="280" w:lineRule="auto"/>
        <w:ind w:firstLine="600"/>
        <w:jc w:val="both"/>
      </w:pPr>
      <w:r>
        <w:rPr>
          <w:rFonts w:ascii="微软雅黑" w:hAnsi="微软雅黑" w:eastAsia="微软雅黑" w:cs="微软雅黑"/>
          <w:color w:val="000000"/>
          <w:sz w:val="32"/>
        </w:rPr>
        <w:t>（1）能源结构调整难度大：我国能源结构以煤炭等化石能源为主，短期内难以实现大规模替代，能源结构调整面临技术、成本等多方面的挑战。</w:t>
      </w:r>
    </w:p>
    <w:p w14:paraId="4312E933">
      <w:pPr>
        <w:spacing w:line="280" w:lineRule="auto"/>
        <w:ind w:firstLine="600"/>
        <w:jc w:val="both"/>
      </w:pPr>
      <w:r>
        <w:rPr>
          <w:rFonts w:ascii="微软雅黑" w:hAnsi="微软雅黑" w:eastAsia="微软雅黑" w:cs="微软雅黑"/>
          <w:color w:val="000000"/>
          <w:sz w:val="32"/>
        </w:rPr>
        <w:t>（2）产业转型压力大：一些高耗能、高排放产业在我国经济中占比较大，产业转型需要大量的资金投入和技术支持，转型过程中可能会面临就业等社会问题。</w:t>
      </w:r>
    </w:p>
    <w:p w14:paraId="631F99D3">
      <w:pPr>
        <w:spacing w:line="280" w:lineRule="auto"/>
        <w:ind w:firstLine="600"/>
        <w:jc w:val="both"/>
      </w:pPr>
      <w:r>
        <w:rPr>
          <w:rFonts w:ascii="微软雅黑" w:hAnsi="微软雅黑" w:eastAsia="微软雅黑" w:cs="微软雅黑"/>
          <w:color w:val="000000"/>
          <w:sz w:val="32"/>
        </w:rPr>
        <w:t>（3）技术创新不足：在新能源开发、节能减排等关键技术领域，我国与发达国家仍存在一定差距，技术创新能力有待提高。</w:t>
      </w:r>
    </w:p>
    <w:p w14:paraId="5BFF3272">
      <w:pPr>
        <w:spacing w:line="280" w:lineRule="auto"/>
        <w:ind w:firstLine="600"/>
        <w:jc w:val="both"/>
      </w:pPr>
      <w:r>
        <w:rPr>
          <w:rFonts w:ascii="微软雅黑" w:hAnsi="微软雅黑" w:eastAsia="微软雅黑" w:cs="微软雅黑"/>
          <w:color w:val="000000"/>
          <w:sz w:val="32"/>
        </w:rPr>
        <w:t>（4）国际合作面临不确定性：碳达峰碳中和是全球性问题，需要国际合作，但国际政治经济形势复杂多变，国际合作面临一定的不确定性。</w:t>
      </w:r>
    </w:p>
    <w:p w14:paraId="153074D0">
      <w:pPr>
        <w:spacing w:line="280" w:lineRule="auto"/>
        <w:ind w:firstLine="600"/>
        <w:jc w:val="both"/>
      </w:pPr>
      <w:r>
        <w:rPr>
          <w:rFonts w:ascii="微软雅黑" w:hAnsi="微软雅黑" w:eastAsia="微软雅黑" w:cs="微软雅黑"/>
          <w:color w:val="000000"/>
          <w:sz w:val="32"/>
        </w:rPr>
        <w:t>应对措施：</w:t>
      </w:r>
    </w:p>
    <w:p w14:paraId="0090B12A">
      <w:pPr>
        <w:spacing w:line="280" w:lineRule="auto"/>
        <w:ind w:firstLine="600"/>
        <w:jc w:val="both"/>
      </w:pPr>
      <w:r>
        <w:rPr>
          <w:rFonts w:ascii="微软雅黑" w:hAnsi="微软雅黑" w:eastAsia="微软雅黑" w:cs="微软雅黑"/>
          <w:color w:val="000000"/>
          <w:sz w:val="32"/>
        </w:rPr>
        <w:t>（1）加快能源结构调整：加大对清洁能源的开发和利用，提高非化石能源在能源消费中的比重，逐步降低对化石能源的依赖。</w:t>
      </w:r>
    </w:p>
    <w:p w14:paraId="499CDC67">
      <w:pPr>
        <w:spacing w:line="280" w:lineRule="auto"/>
        <w:ind w:firstLine="600"/>
        <w:jc w:val="both"/>
      </w:pPr>
      <w:r>
        <w:rPr>
          <w:rFonts w:ascii="微软雅黑" w:hAnsi="微软雅黑" w:eastAsia="微软雅黑" w:cs="微软雅黑"/>
          <w:color w:val="000000"/>
          <w:sz w:val="32"/>
        </w:rPr>
        <w:t>（2）推动产业绿色转型：通过技术改造、产业升级等方式，促进高耗能、高排放产业向绿色低碳方向发展，培育壮大绿色产业。</w:t>
      </w:r>
    </w:p>
    <w:p w14:paraId="64DDDB44">
      <w:pPr>
        <w:spacing w:line="280" w:lineRule="auto"/>
        <w:ind w:firstLine="600"/>
        <w:jc w:val="both"/>
      </w:pPr>
      <w:r>
        <w:rPr>
          <w:rFonts w:ascii="微软雅黑" w:hAnsi="微软雅黑" w:eastAsia="微软雅黑" w:cs="微软雅黑"/>
          <w:color w:val="000000"/>
          <w:sz w:val="32"/>
        </w:rPr>
        <w:t>（3）加强技术创新：加大对碳减排相关技术的研发投入，突破关键技术瓶颈，提高能源利用效率和清洁能源利用水平。</w:t>
      </w:r>
    </w:p>
    <w:p w14:paraId="54C8B856">
      <w:pPr>
        <w:spacing w:line="280" w:lineRule="auto"/>
        <w:ind w:firstLine="600"/>
        <w:jc w:val="both"/>
      </w:pPr>
      <w:r>
        <w:rPr>
          <w:rFonts w:ascii="微软雅黑" w:hAnsi="微软雅黑" w:eastAsia="微软雅黑" w:cs="微软雅黑"/>
          <w:color w:val="000000"/>
          <w:sz w:val="32"/>
        </w:rPr>
        <w:t>（4）完善政策体系：制定和完善相关法律法规和政策，建立健全碳排放权交易市场等机制，引导和激励企业和社会力量参与碳达峰碳中和工作。</w:t>
      </w:r>
    </w:p>
    <w:p w14:paraId="1F7CEA17">
      <w:pPr>
        <w:spacing w:line="280" w:lineRule="auto"/>
        <w:ind w:firstLine="600"/>
        <w:jc w:val="both"/>
      </w:pPr>
      <w:r>
        <w:rPr>
          <w:rFonts w:ascii="微软雅黑" w:hAnsi="微软雅黑" w:eastAsia="微软雅黑" w:cs="微软雅黑"/>
          <w:color w:val="000000"/>
          <w:sz w:val="32"/>
        </w:rPr>
        <w:t>（5）加强国际合作：积极参与全球气候治理，与各国分享经验和技术，共同应对气候变化挑战。</w:t>
      </w:r>
    </w:p>
    <w:p w14:paraId="3B727542">
      <w:pPr>
        <w:spacing w:line="280" w:lineRule="auto"/>
        <w:ind w:firstLine="600"/>
        <w:jc w:val="both"/>
      </w:pPr>
      <w:r>
        <w:rPr>
          <w:rFonts w:ascii="微软雅黑" w:hAnsi="微软雅黑" w:eastAsia="微软雅黑" w:cs="微软雅黑"/>
          <w:color w:val="000000"/>
          <w:sz w:val="32"/>
        </w:rPr>
        <w:t>3. 请阐述我国推动构建人类命运共同体的主要实践和重要意义。</w:t>
      </w:r>
    </w:p>
    <w:p w14:paraId="1359D20F">
      <w:pPr>
        <w:spacing w:line="280" w:lineRule="auto"/>
        <w:ind w:firstLine="600"/>
        <w:jc w:val="both"/>
      </w:pPr>
      <w:r>
        <w:rPr>
          <w:rFonts w:ascii="微软雅黑" w:hAnsi="微软雅黑" w:eastAsia="微软雅黑" w:cs="微软雅黑"/>
          <w:color w:val="000000"/>
          <w:sz w:val="32"/>
        </w:rPr>
        <w:t>答案：</w:t>
      </w:r>
    </w:p>
    <w:p w14:paraId="24FAC0B8">
      <w:pPr>
        <w:spacing w:line="280" w:lineRule="auto"/>
        <w:ind w:firstLine="600"/>
        <w:jc w:val="both"/>
      </w:pPr>
      <w:r>
        <w:rPr>
          <w:rFonts w:ascii="微软雅黑" w:hAnsi="微软雅黑" w:eastAsia="微软雅黑" w:cs="微软雅黑"/>
          <w:color w:val="000000"/>
          <w:sz w:val="32"/>
        </w:rPr>
        <w:t>主要实践：</w:t>
      </w:r>
    </w:p>
    <w:p w14:paraId="2B2512F2">
      <w:pPr>
        <w:spacing w:line="280" w:lineRule="auto"/>
        <w:ind w:firstLine="600"/>
        <w:jc w:val="both"/>
      </w:pPr>
      <w:r>
        <w:rPr>
          <w:rFonts w:ascii="微软雅黑" w:hAnsi="微软雅黑" w:eastAsia="微软雅黑" w:cs="微软雅黑"/>
          <w:color w:val="000000"/>
          <w:sz w:val="32"/>
        </w:rPr>
        <w:t>（1）共建“一带一路”：通过基础设施建设、贸易投资、人文交流等合作，促进沿线国家的互联互通和共同发展，为构建人类命运共同体提供了实践平台。</w:t>
      </w:r>
    </w:p>
    <w:p w14:paraId="39B28E01">
      <w:pPr>
        <w:spacing w:line="280" w:lineRule="auto"/>
        <w:ind w:firstLine="600"/>
        <w:jc w:val="both"/>
      </w:pPr>
      <w:r>
        <w:rPr>
          <w:rFonts w:ascii="微软雅黑" w:hAnsi="微软雅黑" w:eastAsia="微软雅黑" w:cs="微软雅黑"/>
          <w:color w:val="000000"/>
          <w:sz w:val="32"/>
        </w:rPr>
        <w:t>（2）全球抗疫合作：在新冠疫情期间，我国向多个国家提供抗疫物资和技术支持，分享抗疫经验，共同应对疫情挑战。</w:t>
      </w:r>
    </w:p>
    <w:p w14:paraId="392A2BFE">
      <w:pPr>
        <w:spacing w:line="280" w:lineRule="auto"/>
        <w:ind w:firstLine="600"/>
        <w:jc w:val="both"/>
      </w:pPr>
      <w:r>
        <w:rPr>
          <w:rFonts w:ascii="微软雅黑" w:hAnsi="微软雅黑" w:eastAsia="微软雅黑" w:cs="微软雅黑"/>
          <w:color w:val="000000"/>
          <w:sz w:val="32"/>
        </w:rPr>
        <w:t>（3）参与全球治理：积极参与联合国、世界贸易组织等国际组织的活动，在气候变化、反恐、维和等领域发挥建设性作用，推动全球治理体系的改革和完善。</w:t>
      </w:r>
    </w:p>
    <w:p w14:paraId="6A3875A0">
      <w:pPr>
        <w:spacing w:line="280" w:lineRule="auto"/>
        <w:ind w:firstLine="600"/>
        <w:jc w:val="both"/>
      </w:pPr>
      <w:r>
        <w:rPr>
          <w:rFonts w:ascii="微软雅黑" w:hAnsi="微软雅黑" w:eastAsia="微软雅黑" w:cs="微软雅黑"/>
          <w:color w:val="000000"/>
          <w:sz w:val="32"/>
        </w:rPr>
        <w:t>（4）开展人文交流：通过文化交流、教育合作、体育赛事等活动，增进不同国家人民之间的相互了解和友谊，促进民心相通。</w:t>
      </w:r>
    </w:p>
    <w:p w14:paraId="624DAF63">
      <w:pPr>
        <w:spacing w:line="280" w:lineRule="auto"/>
        <w:ind w:firstLine="600"/>
        <w:jc w:val="both"/>
      </w:pPr>
      <w:r>
        <w:rPr>
          <w:rFonts w:ascii="微软雅黑" w:hAnsi="微软雅黑" w:eastAsia="微软雅黑" w:cs="微软雅黑"/>
          <w:color w:val="000000"/>
          <w:sz w:val="32"/>
        </w:rPr>
        <w:t>重要意义：</w:t>
      </w:r>
    </w:p>
    <w:p w14:paraId="0E5512C1">
      <w:pPr>
        <w:spacing w:line="280" w:lineRule="auto"/>
        <w:ind w:firstLine="600"/>
        <w:jc w:val="both"/>
      </w:pPr>
      <w:r>
        <w:rPr>
          <w:rFonts w:ascii="微软雅黑" w:hAnsi="微软雅黑" w:eastAsia="微软雅黑" w:cs="微软雅黑"/>
          <w:color w:val="000000"/>
          <w:sz w:val="32"/>
        </w:rPr>
        <w:t>（1）顺应时代潮流：当今世界，各国相互依存、命运与共，构建人类命运共同体符合和平与发展的时代主题，顺应了历史发展的潮流。</w:t>
      </w:r>
    </w:p>
    <w:p w14:paraId="11B6D03E">
      <w:pPr>
        <w:spacing w:line="280" w:lineRule="auto"/>
        <w:ind w:firstLine="600"/>
        <w:jc w:val="both"/>
      </w:pPr>
      <w:r>
        <w:rPr>
          <w:rFonts w:ascii="微软雅黑" w:hAnsi="微软雅黑" w:eastAsia="微软雅黑" w:cs="微软雅黑"/>
          <w:color w:val="000000"/>
          <w:sz w:val="32"/>
        </w:rPr>
        <w:t>（2）促进世界和平与发展：通过加强国际合作，化解矛盾冲突，促进全球贸易和投资自由化便利化，为世界和平与发展创造有利条件。</w:t>
      </w:r>
    </w:p>
    <w:p w14:paraId="7B43AA84">
      <w:pPr>
        <w:spacing w:line="280" w:lineRule="auto"/>
        <w:ind w:firstLine="600"/>
        <w:jc w:val="both"/>
      </w:pPr>
      <w:r>
        <w:rPr>
          <w:rFonts w:ascii="微软雅黑" w:hAnsi="微软雅黑" w:eastAsia="微软雅黑" w:cs="微软雅黑"/>
          <w:color w:val="000000"/>
          <w:sz w:val="32"/>
        </w:rPr>
        <w:t>（3）推动全球治理体系变革：构建人类命运共同体倡导共商、共建、共享的全球治理观，有助于打破旧的国际秩序，推动全球治理体系朝着更加公正合理的方向发展。</w:t>
      </w:r>
    </w:p>
    <w:p w14:paraId="0554E672">
      <w:pPr>
        <w:spacing w:line="280" w:lineRule="auto"/>
        <w:ind w:firstLine="600"/>
        <w:jc w:val="both"/>
      </w:pPr>
      <w:r>
        <w:rPr>
          <w:rFonts w:ascii="微软雅黑" w:hAnsi="微软雅黑" w:eastAsia="微软雅黑" w:cs="微软雅黑"/>
          <w:color w:val="000000"/>
          <w:sz w:val="32"/>
        </w:rPr>
        <w:t>（4）增进人类福祉：通过共同应对全球性挑战，如气候变化、贫困、疾病等，保障人类的生存和发展权益，增进全人类的福祉。</w:t>
      </w:r>
    </w:p>
    <w:p w14:paraId="3653E7BF">
      <w:pPr>
        <w:spacing w:line="280" w:lineRule="auto"/>
        <w:ind w:firstLine="600"/>
        <w:jc w:val="both"/>
      </w:pPr>
      <w:r>
        <w:rPr>
          <w:rFonts w:ascii="微软雅黑" w:hAnsi="微软雅黑" w:eastAsia="微软雅黑" w:cs="微软雅黑"/>
          <w:color w:val="000000"/>
          <w:sz w:val="32"/>
        </w:rPr>
        <w:t>（5）彰显中国担当：我国积极推动构建人类命运共同体，体现了大国担当，提升了我国的国际影响力和话语权。</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8005B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fill="auto"/>
      <w:spacing w:after="200" w:line="276" w:lineRule="auto"/>
    </w:pPr>
    <w:rPr>
      <w:rFonts w:ascii="微软雅黑" w:hAnsi="微软雅黑" w:eastAsia="微软雅黑"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65F91"/>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sz w:val="26"/>
      <w:szCs w:val="26"/>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43F6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43F6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sz w:val="20"/>
      <w:szCs w:val="20"/>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sz w:val="20"/>
      <w:szCs w:val="20"/>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shd w:val="clear" w:color="auto" w:fill="auto"/>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contextualSpacing/>
    </w:pPr>
  </w:style>
  <w:style w:type="paragraph" w:styleId="14">
    <w:name w:val="List Number"/>
    <w:basedOn w:val="1"/>
    <w:unhideWhenUsed/>
    <w:uiPriority w:val="99"/>
    <w:pPr>
      <w:contextualSpacing/>
    </w:pPr>
  </w:style>
  <w:style w:type="paragraph" w:styleId="15">
    <w:name w:val="caption"/>
    <w:basedOn w:val="1"/>
    <w:next w:val="1"/>
    <w:semiHidden/>
    <w:unhideWhenUsed/>
    <w:qFormat/>
    <w:uiPriority w:val="35"/>
    <w:pPr>
      <w:spacing w:line="240" w:lineRule="auto"/>
    </w:pPr>
    <w:rPr>
      <w:b/>
      <w:bCs/>
      <w:color w:val="4F81BD"/>
      <w:sz w:val="18"/>
      <w:szCs w:val="18"/>
    </w:rPr>
  </w:style>
  <w:style w:type="paragraph" w:styleId="16">
    <w:name w:val="List Bullet"/>
    <w:basedOn w:val="1"/>
    <w:unhideWhenUsed/>
    <w:uiPriority w:val="99"/>
    <w:p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spacing w:val="15"/>
      <w:sz w:val="24"/>
      <w:szCs w:val="24"/>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sz="8" w:space="4"/>
      </w:pBdr>
      <w:spacing w:after="300" w:line="240" w:lineRule="auto"/>
      <w:contextualSpacing/>
    </w:pPr>
    <w:rPr>
      <w:rFonts w:asciiTheme="majorHAnsi" w:hAnsiTheme="majorHAnsi" w:eastAsiaTheme="majorEastAsia" w:cstheme="majorBidi"/>
      <w:color w:val="17365D"/>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rPr>
    <w:tblPr>
      <w:tblBorders>
        <w:top w:val="single" w:color="auto" w:sz="8" w:space="0"/>
        <w:bottom w:val="single" w:color="auto"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5">
    <w:name w:val="Light Shading Accent 1"/>
    <w:basedOn w:val="32"/>
    <w:uiPriority w:val="60"/>
    <w:pPr>
      <w:spacing w:after="0" w:line="240" w:lineRule="auto"/>
    </w:pPr>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36">
    <w:name w:val="Light Shading Accent 2"/>
    <w:basedOn w:val="32"/>
    <w:uiPriority w:val="60"/>
    <w:pPr>
      <w:spacing w:after="0" w:line="240" w:lineRule="auto"/>
    </w:pPr>
    <w:rPr>
      <w:color w:val="943634"/>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7">
    <w:name w:val="Light Shading Accent 3"/>
    <w:basedOn w:val="32"/>
    <w:uiPriority w:val="60"/>
    <w:pPr>
      <w:spacing w:after="0" w:line="240" w:lineRule="auto"/>
    </w:pPr>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8">
    <w:name w:val="Light Shading Accent 4"/>
    <w:basedOn w:val="32"/>
    <w:uiPriority w:val="60"/>
    <w:pPr>
      <w:spacing w:after="0" w:line="240" w:lineRule="auto"/>
    </w:pPr>
    <w:rPr>
      <w:color w:val="5F497A"/>
    </w:rPr>
    <w:tblPr>
      <w:tblBorders>
        <w:top w:val="single" w:color="8064A2" w:sz="8" w:space="0"/>
        <w:bottom w:val="single" w:color="8064A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39">
    <w:name w:val="Light Shading Accent 5"/>
    <w:basedOn w:val="32"/>
    <w:uiPriority w:val="60"/>
    <w:pPr>
      <w:spacing w:after="0" w:line="240" w:lineRule="auto"/>
    </w:pPr>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0">
    <w:name w:val="Light Shading Accent 6"/>
    <w:basedOn w:val="32"/>
    <w:uiPriority w:val="60"/>
    <w:pPr>
      <w:spacing w:after="0" w:line="240" w:lineRule="auto"/>
    </w:pPr>
    <w:rPr>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1">
    <w:name w:val="Light List"/>
    <w:basedOn w:val="32"/>
    <w:uiPriority w:val="61"/>
    <w:pPr>
      <w:spacing w:after="0" w:line="240" w:lineRule="auto"/>
    </w:pPr>
    <w:tblPr>
      <w:tblBorders>
        <w:top w:val="single" w:color="auto" w:sz="8" w:space="0"/>
        <w:left w:val="single" w:color="auto" w:sz="8" w:space="0"/>
        <w:bottom w:val="single" w:color="auto" w:sz="8" w:space="0"/>
        <w:right w:val="single" w:color="auto"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C0C0C0"/>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2"/>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1"/>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4D0"/>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404040" w:sz="8" w:space="0"/>
        <w:left w:val="single" w:color="404040" w:sz="8" w:space="0"/>
        <w:bottom w:val="single" w:color="404040" w:sz="8" w:space="0"/>
        <w:right w:val="single" w:color="404040" w:sz="8" w:space="0"/>
        <w:insideH w:val="single" w:color="404040"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sz="8" w:space="0"/>
        <w:left w:val="single" w:color="7BA0CD" w:sz="8" w:space="0"/>
        <w:bottom w:val="single" w:color="7BA0CD" w:sz="8" w:space="0"/>
        <w:right w:val="single" w:color="7BA0CD" w:sz="8" w:space="0"/>
        <w:insideH w:val="single" w:color="7BA0CD"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3CC82" w:sz="8" w:space="0"/>
        <w:left w:val="single" w:color="B3CC82" w:sz="8" w:space="0"/>
        <w:bottom w:val="single" w:color="B3CC82" w:sz="8" w:space="0"/>
        <w:right w:val="single" w:color="B3CC82" w:sz="8" w:space="0"/>
        <w:insideH w:val="single" w:color="B3CC8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sz="8" w:space="0"/>
        <w:left w:val="single" w:color="9F8AB9" w:sz="8" w:space="0"/>
        <w:bottom w:val="single" w:color="9F8AB9" w:sz="8" w:space="0"/>
        <w:right w:val="single" w:color="9F8AB9" w:sz="8" w:space="0"/>
        <w:insideH w:val="single" w:color="9F8AB9"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sz="8" w:space="0"/>
        <w:left w:val="single" w:color="78C0D4" w:sz="8" w:space="0"/>
        <w:bottom w:val="single" w:color="78C0D4" w:sz="8" w:space="0"/>
        <w:right w:val="single" w:color="78C0D4" w:sz="8" w:space="0"/>
        <w:insideH w:val="single" w:color="78C0D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sz="8" w:space="0"/>
        <w:left w:val="single" w:color="F9B074" w:sz="8" w:space="0"/>
        <w:bottom w:val="single" w:color="F9B074" w:sz="8" w:space="0"/>
        <w:right w:val="single" w:color="F9B074" w:sz="8" w:space="0"/>
        <w:insideH w:val="single" w:color="F9B07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rPr>
    <w:tblPr>
      <w:tblBorders>
        <w:top w:val="single" w:color="auto" w:sz="8" w:space="0"/>
        <w:bottom w:val="single" w:color="auto"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cPr>
    </w:tblStylePr>
    <w:tblStylePr w:type="band1Horz">
      <w:tblPr/>
      <w:tcPr>
        <w:shd w:val="clear" w:color="auto" w:fill="C0C0C0"/>
      </w:tcPr>
    </w:tblStylePr>
  </w:style>
  <w:style w:type="table" w:styleId="70">
    <w:name w:val="Medium List 1 Accent 1"/>
    <w:basedOn w:val="32"/>
    <w:uiPriority w:val="65"/>
    <w:pPr>
      <w:spacing w:after="0" w:line="240" w:lineRule="auto"/>
    </w:pPr>
    <w:rPr>
      <w:color w:val="000000"/>
    </w:rPr>
    <w:tblPr>
      <w:tblBorders>
        <w:top w:val="single" w:color="4F81BD" w:sz="8" w:space="0"/>
        <w:bottom w:val="single" w:color="4F81BD"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cPr>
    </w:tblStylePr>
    <w:tblStylePr w:type="band1Horz">
      <w:tblPr/>
      <w:tcPr>
        <w:shd w:val="clear" w:color="auto" w:fill="D3DFEE"/>
      </w:tcPr>
    </w:tblStylePr>
  </w:style>
  <w:style w:type="table" w:styleId="71">
    <w:name w:val="Medium List 1 Accent 2"/>
    <w:basedOn w:val="32"/>
    <w:uiPriority w:val="65"/>
    <w:pPr>
      <w:spacing w:after="0" w:line="240" w:lineRule="auto"/>
    </w:pPr>
    <w:rPr>
      <w:color w:val="000000"/>
    </w:rPr>
    <w:tblPr>
      <w:tblBorders>
        <w:top w:val="single" w:color="C0504D" w:sz="8" w:space="0"/>
        <w:bottom w:val="single" w:color="C0504D"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cPr>
    </w:tblStylePr>
    <w:tblStylePr w:type="band1Horz">
      <w:tblPr/>
      <w:tcPr>
        <w:shd w:val="clear" w:color="auto" w:fill="EFD3D2"/>
      </w:tcPr>
    </w:tblStylePr>
  </w:style>
  <w:style w:type="table" w:styleId="72">
    <w:name w:val="Medium List 1 Accent 3"/>
    <w:basedOn w:val="32"/>
    <w:uiPriority w:val="65"/>
    <w:pPr>
      <w:spacing w:after="0" w:line="240" w:lineRule="auto"/>
    </w:pPr>
    <w:rPr>
      <w:color w:val="000000"/>
    </w:rPr>
    <w:tblPr>
      <w:tblBorders>
        <w:top w:val="single" w:color="9BBB59" w:sz="8" w:space="0"/>
        <w:bottom w:val="single" w:color="9BBB59"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cPr>
    </w:tblStylePr>
    <w:tblStylePr w:type="band1Horz">
      <w:tblPr/>
      <w:tcPr>
        <w:shd w:val="clear" w:color="auto" w:fill="E6EED5"/>
      </w:tcPr>
    </w:tblStylePr>
  </w:style>
  <w:style w:type="table" w:styleId="73">
    <w:name w:val="Medium List 1 Accent 4"/>
    <w:basedOn w:val="32"/>
    <w:uiPriority w:val="65"/>
    <w:pPr>
      <w:spacing w:after="0" w:line="240" w:lineRule="auto"/>
    </w:pPr>
    <w:rPr>
      <w:color w:val="000000"/>
    </w:rPr>
    <w:tblPr>
      <w:tblBorders>
        <w:top w:val="single" w:color="8064A2" w:sz="8" w:space="0"/>
        <w:bottom w:val="single" w:color="8064A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cPr>
    </w:tblStylePr>
    <w:tblStylePr w:type="band1Horz">
      <w:tblPr/>
      <w:tcPr>
        <w:shd w:val="clear" w:color="auto" w:fill="DFD8E8"/>
      </w:tcPr>
    </w:tblStylePr>
  </w:style>
  <w:style w:type="table" w:styleId="74">
    <w:name w:val="Medium List 1 Accent 5"/>
    <w:basedOn w:val="32"/>
    <w:uiPriority w:val="65"/>
    <w:pPr>
      <w:spacing w:after="0" w:line="240" w:lineRule="auto"/>
    </w:pPr>
    <w:rPr>
      <w:color w:val="000000"/>
    </w:rPr>
    <w:tblPr>
      <w:tblBorders>
        <w:top w:val="single" w:color="4BACC6" w:sz="8" w:space="0"/>
        <w:bottom w:val="single" w:color="4BACC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cPr>
    </w:tblStylePr>
    <w:tblStylePr w:type="band1Horz">
      <w:tblPr/>
      <w:tcPr>
        <w:shd w:val="clear" w:color="auto" w:fill="D2EAF1"/>
      </w:tcPr>
    </w:tblStylePr>
  </w:style>
  <w:style w:type="table" w:styleId="75">
    <w:name w:val="Medium List 1 Accent 6"/>
    <w:basedOn w:val="32"/>
    <w:uiPriority w:val="65"/>
    <w:pPr>
      <w:spacing w:after="0" w:line="240" w:lineRule="auto"/>
    </w:pPr>
    <w:rPr>
      <w:color w:val="000000"/>
    </w:rPr>
    <w:tblPr>
      <w:tblBorders>
        <w:top w:val="single" w:color="F79646" w:sz="8" w:space="0"/>
        <w:bottom w:val="single" w:color="F7964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cPr>
    </w:tblStylePr>
    <w:tblStylePr w:type="band1Horz">
      <w:tblPr/>
      <w:tcPr>
        <w:shd w:val="clear" w:color="auto" w:fill="FDE4D0"/>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rPr>
    <w:tblPr>
      <w:tblBorders>
        <w:top w:val="single" w:color="auto" w:sz="8" w:space="0"/>
        <w:left w:val="single" w:color="auto" w:sz="8" w:space="0"/>
        <w:bottom w:val="single" w:color="auto" w:sz="8" w:space="0"/>
        <w:right w:val="single" w:color="auto"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cPr>
    </w:tblStylePr>
    <w:tblStylePr w:type="lastRow">
      <w:tblPr/>
      <w:tcPr>
        <w:tcBorders>
          <w:top w:val="single" w:color="000000" w:themeColor="text1"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themeColor="text1" w:sz="8" w:space="0"/>
          <w:insideH w:val="nil"/>
          <w:insideV w:val="nil"/>
        </w:tcBorders>
        <w:shd w:val="clear" w:color="auto" w:fill="FFFFFF"/>
      </w:tcPr>
    </w:tblStylePr>
    <w:tblStylePr w:type="lastCol">
      <w:tblPr/>
      <w:tcPr>
        <w:tcBorders>
          <w:top w:val="nil"/>
          <w:left w:val="single" w:color="000000" w:themeColor="text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rPr>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cPr>
    </w:tblStylePr>
    <w:tblStylePr w:type="lastRow">
      <w:tblPr/>
      <w:tcPr>
        <w:tcBorders>
          <w:top w:val="single" w:color="4F81BD" w:themeColor="accent1"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themeColor="accent1" w:sz="8" w:space="0"/>
          <w:insideH w:val="nil"/>
          <w:insideV w:val="nil"/>
        </w:tcBorders>
        <w:shd w:val="clear" w:color="auto" w:fill="FFFFFF"/>
      </w:tcPr>
    </w:tblStylePr>
    <w:tblStylePr w:type="lastCol">
      <w:tblPr/>
      <w:tcPr>
        <w:tcBorders>
          <w:top w:val="nil"/>
          <w:left w:val="single" w:color="4F81BD" w:themeColor="accent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rPr>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cPr>
    </w:tblStylePr>
    <w:tblStylePr w:type="lastRow">
      <w:tblPr/>
      <w:tcPr>
        <w:tcBorders>
          <w:top w:val="single" w:color="C0504D" w:themeColor="accent2"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themeColor="accent2" w:sz="8" w:space="0"/>
          <w:insideH w:val="nil"/>
          <w:insideV w:val="nil"/>
        </w:tcBorders>
        <w:shd w:val="clear" w:color="auto" w:fill="FFFFFF"/>
      </w:tcPr>
    </w:tblStylePr>
    <w:tblStylePr w:type="lastCol">
      <w:tblPr/>
      <w:tcPr>
        <w:tcBorders>
          <w:top w:val="nil"/>
          <w:left w:val="single" w:color="C0504D" w:themeColor="accent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rPr>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cPr>
    </w:tblStylePr>
    <w:tblStylePr w:type="lastRow">
      <w:tblPr/>
      <w:tcPr>
        <w:tcBorders>
          <w:top w:val="single" w:color="9BBB59" w:themeColor="accent3"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themeColor="accent3" w:sz="8" w:space="0"/>
          <w:insideH w:val="nil"/>
          <w:insideV w:val="nil"/>
        </w:tcBorders>
        <w:shd w:val="clear" w:color="auto" w:fill="FFFFFF"/>
      </w:tcPr>
    </w:tblStylePr>
    <w:tblStylePr w:type="lastCol">
      <w:tblPr/>
      <w:tcPr>
        <w:tcBorders>
          <w:top w:val="nil"/>
          <w:left w:val="single" w:color="9BBB59" w:themeColor="accent3"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rPr>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cPr>
    </w:tblStylePr>
    <w:tblStylePr w:type="lastRow">
      <w:tblPr/>
      <w:tcPr>
        <w:tcBorders>
          <w:top w:val="single" w:color="8064A2" w:themeColor="accent4"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themeColor="accent4" w:sz="8" w:space="0"/>
          <w:insideH w:val="nil"/>
          <w:insideV w:val="nil"/>
        </w:tcBorders>
        <w:shd w:val="clear" w:color="auto" w:fill="FFFFFF"/>
      </w:tcPr>
    </w:tblStylePr>
    <w:tblStylePr w:type="lastCol">
      <w:tblPr/>
      <w:tcPr>
        <w:tcBorders>
          <w:top w:val="nil"/>
          <w:left w:val="single" w:color="8064A2" w:themeColor="accent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rPr>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cPr>
    </w:tblStylePr>
    <w:tblStylePr w:type="lastRow">
      <w:tblPr/>
      <w:tcPr>
        <w:tcBorders>
          <w:top w:val="single" w:color="4BACC6" w:themeColor="accent5"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themeColor="accent5" w:sz="8" w:space="0"/>
          <w:insideH w:val="nil"/>
          <w:insideV w:val="nil"/>
        </w:tcBorders>
        <w:shd w:val="clear" w:color="auto" w:fill="FFFFFF"/>
      </w:tcPr>
    </w:tblStylePr>
    <w:tblStylePr w:type="lastCol">
      <w:tblPr/>
      <w:tcPr>
        <w:tcBorders>
          <w:top w:val="nil"/>
          <w:left w:val="single" w:color="4BACC6" w:themeColor="accent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rPr>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cPr>
    </w:tblStylePr>
    <w:tblStylePr w:type="lastRow">
      <w:tblPr/>
      <w:tcPr>
        <w:tcBorders>
          <w:top w:val="single" w:color="F79646" w:themeColor="accent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themeColor="accent6" w:sz="8" w:space="0"/>
          <w:insideH w:val="nil"/>
          <w:insideV w:val="nil"/>
        </w:tcBorders>
        <w:shd w:val="clear" w:color="auto" w:fill="FFFFFF"/>
      </w:tcPr>
    </w:tblStylePr>
    <w:tblStylePr w:type="lastCol">
      <w:tblPr/>
      <w:tcPr>
        <w:tcBorders>
          <w:top w:val="nil"/>
          <w:left w:val="single" w:color="F79646" w:themeColor="accent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32"/>
    <w:uiPriority w:val="67"/>
    <w:pPr>
      <w:spacing w:after="0" w:line="240" w:lineRule="auto"/>
    </w:p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85">
    <w:name w:val="Medium Grid 1 Accent 2"/>
    <w:basedOn w:val="32"/>
    <w:uiPriority w:val="67"/>
    <w:pPr>
      <w:spacing w:after="0" w:line="240" w:lineRule="auto"/>
    </w:p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86">
    <w:name w:val="Medium Grid 1 Accent 3"/>
    <w:basedOn w:val="32"/>
    <w:uiPriority w:val="67"/>
    <w:pPr>
      <w:spacing w:after="0" w:line="240" w:lineRule="auto"/>
    </w:pPr>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87">
    <w:name w:val="Medium Grid 1 Accent 4"/>
    <w:basedOn w:val="32"/>
    <w:uiPriority w:val="67"/>
    <w:pPr>
      <w:spacing w:after="0" w:line="240" w:lineRule="auto"/>
    </w:p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88">
    <w:name w:val="Medium Grid 1 Accent 5"/>
    <w:basedOn w:val="32"/>
    <w:uiPriority w:val="67"/>
    <w:pPr>
      <w:spacing w:after="0" w:line="240" w:lineRule="auto"/>
    </w:pPr>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89">
    <w:name w:val="Medium Grid 1 Accent 6"/>
    <w:basedOn w:val="32"/>
    <w:uiPriority w:val="67"/>
    <w:pPr>
      <w:spacing w:after="0" w:line="240" w:lineRule="auto"/>
    </w:pPr>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r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
    <w:tcPr>
      <w:shd w:val="clear" w:color="auto" w:fill="C0C0C0"/>
    </w:tcPr>
    <w:tblStylePr w:type="firstRow">
      <w:rPr>
        <w:b/>
        <w:bCs/>
        <w:color w:val="000000" w:themeColor="text1"/>
        <w14:textFill>
          <w14:solidFill>
            <w14:schemeClr w14:val="tx1"/>
          </w14:solidFill>
        </w14:textFill>
      </w:rPr>
      <w:tblPr/>
      <w:tcPr>
        <w:shd w:val="clear" w:color="auto" w:fill="E6E6E6"/>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cPr>
      <w:shd w:val="clear" w:color="auto" w:fill="D3DFEE"/>
    </w:tcPr>
    <w:tblStylePr w:type="firstRow">
      <w:rPr>
        <w:b/>
        <w:bCs/>
        <w:color w:val="000000" w:themeColor="text1"/>
        <w14:textFill>
          <w14:solidFill>
            <w14:schemeClr w14:val="tx1"/>
          </w14:solidFill>
        </w14:textFill>
      </w:rPr>
      <w:tblPr/>
      <w:tcPr>
        <w:shd w:val="clear" w:color="auto" w:fill="EDF2F8"/>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cPr>
      <w:shd w:val="clear" w:color="auto" w:fill="EFD3D2"/>
    </w:tcPr>
    <w:tblStylePr w:type="firstRow">
      <w:rPr>
        <w:b/>
        <w:bCs/>
        <w:color w:val="000000" w:themeColor="text1"/>
        <w14:textFill>
          <w14:solidFill>
            <w14:schemeClr w14:val="tx1"/>
          </w14:solidFill>
        </w14:textFill>
      </w:rPr>
      <w:tblPr/>
      <w:tcPr>
        <w:shd w:val="clear" w:color="auto" w:fill="F8EDED"/>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cPr>
      <w:shd w:val="clear" w:color="auto" w:fill="E6EED5"/>
    </w:tcPr>
    <w:tblStylePr w:type="firstRow">
      <w:rPr>
        <w:b/>
        <w:bCs/>
        <w:color w:val="000000" w:themeColor="text1"/>
        <w14:textFill>
          <w14:solidFill>
            <w14:schemeClr w14:val="tx1"/>
          </w14:solidFill>
        </w14:textFill>
      </w:rPr>
      <w:tblPr/>
      <w:tcPr>
        <w:shd w:val="clear" w:color="auto" w:fill="F5F8EE"/>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cPr>
      <w:shd w:val="clear" w:color="auto" w:fill="DFD8E8"/>
    </w:tcPr>
    <w:tblStylePr w:type="firstRow">
      <w:rPr>
        <w:b/>
        <w:bCs/>
        <w:color w:val="000000" w:themeColor="text1"/>
        <w14:textFill>
          <w14:solidFill>
            <w14:schemeClr w14:val="tx1"/>
          </w14:solidFill>
        </w14:textFill>
      </w:rPr>
      <w:tblPr/>
      <w:tcPr>
        <w:shd w:val="clear" w:color="auto" w:fill="F2EFF6"/>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cPr>
      <w:shd w:val="clear" w:color="auto" w:fill="D2EAF1"/>
    </w:tcPr>
    <w:tblStylePr w:type="firstRow">
      <w:rPr>
        <w:b/>
        <w:bCs/>
        <w:color w:val="000000" w:themeColor="text1"/>
        <w14:textFill>
          <w14:solidFill>
            <w14:schemeClr w14:val="tx1"/>
          </w14:solidFill>
        </w14:textFill>
      </w:rPr>
      <w:tblPr/>
      <w:tcPr>
        <w:shd w:val="clear" w:color="auto" w:fill="EDF6F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cPr>
      <w:shd w:val="clear" w:color="auto" w:fill="FDE4D0"/>
    </w:tcPr>
    <w:tblStylePr w:type="firstRow">
      <w:rPr>
        <w:b/>
        <w:bCs/>
        <w:color w:val="000000" w:themeColor="text1"/>
        <w14:textFill>
          <w14:solidFill>
            <w14:schemeClr w14:val="tx1"/>
          </w14:solidFill>
        </w14:textFill>
      </w:rPr>
      <w:tblPr/>
      <w:tcPr>
        <w:shd w:val="clear" w:color="auto" w:fill="FEF4EC"/>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97">
    <w:name w:val="Medium Grid 3"/>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808080"/>
      </w:tcPr>
    </w:tblStylePr>
  </w:style>
  <w:style w:type="table" w:styleId="98">
    <w:name w:val="Medium Grid 3 Accent 1"/>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3DFEE"/>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BFDE"/>
      </w:tcPr>
    </w:tblStylePr>
  </w:style>
  <w:style w:type="table" w:styleId="99">
    <w:name w:val="Medium Grid 3 Accent 2"/>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cPr>
    </w:tblStylePr>
  </w:style>
  <w:style w:type="table" w:styleId="100">
    <w:name w:val="Medium Grid 3 Accent 3"/>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6EED5"/>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cPr>
    </w:tblStylePr>
  </w:style>
  <w:style w:type="table" w:styleId="101">
    <w:name w:val="Medium Grid 3 Accent 4"/>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FD8E8"/>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cPr>
    </w:tblStylePr>
  </w:style>
  <w:style w:type="table" w:styleId="102">
    <w:name w:val="Medium Grid 3 Accent 5"/>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2EAF1"/>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cPr>
    </w:tblStylePr>
  </w:style>
  <w:style w:type="table" w:styleId="103">
    <w:name w:val="Medium Grid 3 Accent 6"/>
    <w:basedOn w:val="32"/>
    <w:uiPriority w:val="69"/>
    <w:pPr>
      <w:spacing w:after="0" w:line="240" w:lineRule="auto"/>
    </w:p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FDE4D0"/>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cPr>
    </w:tblStylePr>
  </w:style>
  <w:style w:type="table" w:styleId="104">
    <w:name w:val="Dark List"/>
    <w:basedOn w:val="32"/>
    <w:uiPriority w:val="70"/>
    <w:pPr>
      <w:spacing w:after="0" w:line="240" w:lineRule="auto"/>
    </w:pPr>
    <w:rPr>
      <w:color w:val="FFFFFF"/>
    </w:rPr>
    <w:tblPr>
      <w:tblCellMar>
        <w:top w:w="0" w:type="dxa"/>
        <w:left w:w="108" w:type="dxa"/>
        <w:bottom w:w="0" w:type="dxa"/>
        <w:right w:w="108" w:type="dxa"/>
      </w:tblCellMar>
    </w:tblPr>
    <w:tcPr>
      <w:shd w:val="clear" w:color="auto" w:fill="000000"/>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themeColor="background1" w:sz="18" w:space="0"/>
          <w:insideH w:val="nil"/>
          <w:insideV w:val="nil"/>
        </w:tcBorders>
        <w:shd w:val="clear" w:color="auto" w:fill="000000"/>
      </w:tcPr>
    </w:tblStylePr>
    <w:tblStylePr w:type="lastCol">
      <w:tblPr/>
      <w:tcPr>
        <w:tcBorders>
          <w:top w:val="nil"/>
          <w:left w:val="single" w:color="FFFFFF" w:themeColor="background1"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05">
    <w:name w:val="Dark List Accent 1"/>
    <w:basedOn w:val="32"/>
    <w:uiPriority w:val="70"/>
    <w:pPr>
      <w:spacing w:after="0" w:line="240" w:lineRule="auto"/>
    </w:pPr>
    <w:rPr>
      <w:color w:val="FFFFFF"/>
    </w:rPr>
    <w:tblPr>
      <w:tblCellMar>
        <w:top w:w="0" w:type="dxa"/>
        <w:left w:w="108" w:type="dxa"/>
        <w:bottom w:w="0" w:type="dxa"/>
        <w:right w:w="108" w:type="dxa"/>
      </w:tblCellMar>
    </w:tblPr>
    <w:tcPr>
      <w:shd w:val="clear" w:color="auto" w:fill="4F81BD"/>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themeColor="background1" w:sz="18" w:space="0"/>
          <w:insideH w:val="nil"/>
          <w:insideV w:val="nil"/>
        </w:tcBorders>
        <w:shd w:val="clear" w:color="auto" w:fill="365F91"/>
      </w:tcPr>
    </w:tblStylePr>
    <w:tblStylePr w:type="lastCol">
      <w:tblPr/>
      <w:tcPr>
        <w:tcBorders>
          <w:top w:val="nil"/>
          <w:left w:val="single" w:color="FFFFFF" w:themeColor="background1"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106">
    <w:name w:val="Dark List Accent 2"/>
    <w:basedOn w:val="32"/>
    <w:uiPriority w:val="70"/>
    <w:pPr>
      <w:spacing w:after="0" w:line="240" w:lineRule="auto"/>
    </w:pPr>
    <w:rPr>
      <w:color w:val="FFFFFF"/>
    </w:rPr>
    <w:tblPr>
      <w:tblCellMar>
        <w:top w:w="0" w:type="dxa"/>
        <w:left w:w="108" w:type="dxa"/>
        <w:bottom w:w="0" w:type="dxa"/>
        <w:right w:w="108" w:type="dxa"/>
      </w:tblCellMar>
    </w:tblPr>
    <w:tcPr>
      <w:shd w:val="clear" w:color="auto" w:fill="C0504D"/>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themeColor="background1" w:sz="18" w:space="0"/>
          <w:insideH w:val="nil"/>
          <w:insideV w:val="nil"/>
        </w:tcBorders>
        <w:shd w:val="clear" w:color="auto" w:fill="943634"/>
      </w:tcPr>
    </w:tblStylePr>
    <w:tblStylePr w:type="lastCol">
      <w:tblPr/>
      <w:tcPr>
        <w:tcBorders>
          <w:top w:val="nil"/>
          <w:left w:val="single" w:color="FFFFFF" w:themeColor="background1"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107">
    <w:name w:val="Dark List Accent 3"/>
    <w:basedOn w:val="32"/>
    <w:uiPriority w:val="70"/>
    <w:pPr>
      <w:spacing w:after="0" w:line="240" w:lineRule="auto"/>
    </w:pPr>
    <w:rPr>
      <w:color w:val="FFFFFF"/>
    </w:rPr>
    <w:tblPr>
      <w:tblCellMar>
        <w:top w:w="0" w:type="dxa"/>
        <w:left w:w="108" w:type="dxa"/>
        <w:bottom w:w="0" w:type="dxa"/>
        <w:right w:w="108" w:type="dxa"/>
      </w:tblCellMar>
    </w:tblPr>
    <w:tcPr>
      <w:shd w:val="clear" w:color="auto" w:fill="9BBB59"/>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themeColor="background1" w:sz="18" w:space="0"/>
          <w:insideH w:val="nil"/>
          <w:insideV w:val="nil"/>
        </w:tcBorders>
        <w:shd w:val="clear" w:color="auto" w:fill="76923C"/>
      </w:tcPr>
    </w:tblStylePr>
    <w:tblStylePr w:type="lastCol">
      <w:tblPr/>
      <w:tcPr>
        <w:tcBorders>
          <w:top w:val="nil"/>
          <w:left w:val="single" w:color="FFFFFF" w:themeColor="background1"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108">
    <w:name w:val="Dark List Accent 4"/>
    <w:basedOn w:val="32"/>
    <w:uiPriority w:val="70"/>
    <w:pPr>
      <w:spacing w:after="0" w:line="240" w:lineRule="auto"/>
    </w:pPr>
    <w:rPr>
      <w:color w:val="FFFFFF"/>
    </w:rPr>
    <w:tblPr>
      <w:tblCellMar>
        <w:top w:w="0" w:type="dxa"/>
        <w:left w:w="108" w:type="dxa"/>
        <w:bottom w:w="0" w:type="dxa"/>
        <w:right w:w="108" w:type="dxa"/>
      </w:tblCellMar>
    </w:tblPr>
    <w:tcPr>
      <w:shd w:val="clear" w:color="auto" w:fill="8064A2"/>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themeColor="background1" w:sz="18" w:space="0"/>
          <w:insideH w:val="nil"/>
          <w:insideV w:val="nil"/>
        </w:tcBorders>
        <w:shd w:val="clear" w:color="auto" w:fill="5F497A"/>
      </w:tcPr>
    </w:tblStylePr>
    <w:tblStylePr w:type="lastCol">
      <w:tblPr/>
      <w:tcPr>
        <w:tcBorders>
          <w:top w:val="nil"/>
          <w:left w:val="single" w:color="FFFFFF" w:themeColor="background1"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109">
    <w:name w:val="Dark List Accent 5"/>
    <w:basedOn w:val="32"/>
    <w:uiPriority w:val="70"/>
    <w:pPr>
      <w:spacing w:after="0" w:line="240" w:lineRule="auto"/>
    </w:pPr>
    <w:rPr>
      <w:color w:val="FFFFFF"/>
    </w:rPr>
    <w:tblPr>
      <w:tblCellMar>
        <w:top w:w="0" w:type="dxa"/>
        <w:left w:w="108" w:type="dxa"/>
        <w:bottom w:w="0" w:type="dxa"/>
        <w:right w:w="108" w:type="dxa"/>
      </w:tblCellMar>
    </w:tblPr>
    <w:tcPr>
      <w:shd w:val="clear" w:color="auto" w:fill="4BACC6"/>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themeColor="background1" w:sz="18" w:space="0"/>
          <w:insideH w:val="nil"/>
          <w:insideV w:val="nil"/>
        </w:tcBorders>
        <w:shd w:val="clear" w:color="auto" w:fill="31849B"/>
      </w:tcPr>
    </w:tblStylePr>
    <w:tblStylePr w:type="lastCol">
      <w:tblPr/>
      <w:tcPr>
        <w:tcBorders>
          <w:top w:val="nil"/>
          <w:left w:val="single" w:color="FFFFFF" w:themeColor="background1"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110">
    <w:name w:val="Dark List Accent 6"/>
    <w:basedOn w:val="32"/>
    <w:uiPriority w:val="70"/>
    <w:pPr>
      <w:spacing w:after="0" w:line="240" w:lineRule="auto"/>
    </w:pPr>
    <w:rPr>
      <w:color w:val="FFFFFF"/>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themeColor="background1" w:sz="18" w:space="0"/>
          <w:right w:val="nil"/>
          <w:insideH w:val="nil"/>
          <w:insideV w:val="nil"/>
        </w:tcBorders>
        <w:shd w:val="clear" w:color="auto" w:fill="000000"/>
      </w:tcPr>
    </w:tblStylePr>
    <w:tblStylePr w:type="lastRow">
      <w:tblPr/>
      <w:tcPr>
        <w:tcBorders>
          <w:top w:val="single" w:color="FFFFFF" w:themeColor="background1"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themeColor="background1" w:sz="18" w:space="0"/>
          <w:insideH w:val="nil"/>
          <w:insideV w:val="nil"/>
        </w:tcBorders>
        <w:shd w:val="clear" w:color="auto" w:fill="E36C0A"/>
      </w:tcPr>
    </w:tblStylePr>
    <w:tblStylePr w:type="lastCol">
      <w:tblPr/>
      <w:tcPr>
        <w:tcBorders>
          <w:top w:val="nil"/>
          <w:left w:val="single" w:color="FFFFFF" w:themeColor="background1"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1">
    <w:name w:val="Colorful Shading"/>
    <w:basedOn w:val="32"/>
    <w:uiPriority w:val="71"/>
    <w:pPr>
      <w:spacing w:after="0" w:line="240" w:lineRule="auto"/>
    </w:pPr>
    <w:rPr>
      <w:color w:val="000000"/>
    </w:rPr>
    <w:tblPr>
      <w:tblBorders>
        <w:top w:val="single" w:color="C0504D" w:sz="24" w:space="0"/>
        <w:left w:val="single" w:color="auto" w:sz="4" w:space="0"/>
        <w:bottom w:val="single" w:color="auto" w:sz="4" w:space="0"/>
        <w:right w:val="single" w:color="auto" w:sz="4" w:space="0"/>
        <w:insideH w:val="single" w:color="FFFFFF" w:sz="4" w:space="0"/>
        <w:insideV w:val="single" w:color="FFFFFF" w:sz="4" w:space="0"/>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color="C0504D" w:themeColor="accent2"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color="C0504D" w:themeColor="accent2"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C4C74"/>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C4C74"/>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color="C0504D" w:themeColor="accent2"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color="8064A2" w:themeColor="accent4"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15">
    <w:name w:val="Colorful Shading Accent 4"/>
    <w:basedOn w:val="32"/>
    <w:uiPriority w:val="71"/>
    <w:pPr>
      <w:spacing w:after="0" w:line="240" w:lineRule="auto"/>
    </w:pPr>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color="9BBB59" w:themeColor="accent3"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B62"/>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B62"/>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color="F79646" w:themeColor="accent6"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color="4BACC6" w:themeColor="accent5" w:sz="24" w:space="0"/>
          <w:right w:val="nil"/>
          <w:insideH w:val="nil"/>
          <w:insideV w:val="nil"/>
        </w:tcBorders>
        <w:shd w:val="clear" w:color="auto" w:fill="FFFFFF"/>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8"/>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8"/>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rPr>
    <w:tblPr>
      <w:tblCellMar>
        <w:top w:w="0" w:type="dxa"/>
        <w:left w:w="108" w:type="dxa"/>
        <w:bottom w:w="0" w:type="dxa"/>
        <w:right w:w="108" w:type="dxa"/>
      </w:tblCellMar>
    </w:tblPr>
    <w:tcPr>
      <w:shd w:val="clear" w:color="auto" w:fill="E6E6E6"/>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cPr>
    </w:tblStylePr>
    <w:tblStylePr w:type="lastRow">
      <w:rPr>
        <w:b/>
        <w:bCs/>
        <w:color w:val="9F3B38" w:themeColor="accent2"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9">
    <w:name w:val="Colorful List Accent 1"/>
    <w:basedOn w:val="32"/>
    <w:uiPriority w:val="72"/>
    <w:pPr>
      <w:spacing w:after="0" w:line="240" w:lineRule="auto"/>
    </w:pPr>
    <w:rPr>
      <w:color w:val="000000"/>
    </w:rPr>
    <w:tblPr>
      <w:tblCellMar>
        <w:top w:w="0" w:type="dxa"/>
        <w:left w:w="108" w:type="dxa"/>
        <w:bottom w:w="0" w:type="dxa"/>
        <w:right w:w="108" w:type="dxa"/>
      </w:tblCellMar>
    </w:tblPr>
    <w:tcPr>
      <w:shd w:val="clear" w:color="auto" w:fill="EDF2F8"/>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cPr>
    </w:tblStylePr>
    <w:tblStylePr w:type="lastRow">
      <w:rPr>
        <w:b/>
        <w:bCs/>
        <w:color w:val="9F3B38" w:themeColor="accent2"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20">
    <w:name w:val="Colorful List Accent 2"/>
    <w:basedOn w:val="32"/>
    <w:uiPriority w:val="72"/>
    <w:pPr>
      <w:spacing w:after="0" w:line="240" w:lineRule="auto"/>
    </w:pPr>
    <w:rPr>
      <w:color w:val="000000"/>
    </w:rPr>
    <w:tblPr>
      <w:tblCellMar>
        <w:top w:w="0" w:type="dxa"/>
        <w:left w:w="108" w:type="dxa"/>
        <w:bottom w:w="0" w:type="dxa"/>
        <w:right w:w="108" w:type="dxa"/>
      </w:tblCellMar>
    </w:tblPr>
    <w:tcPr>
      <w:shd w:val="clear" w:color="auto" w:fill="F8EDED"/>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cPr>
    </w:tblStylePr>
    <w:tblStylePr w:type="lastRow">
      <w:rPr>
        <w:b/>
        <w:bCs/>
        <w:color w:val="9F3B38" w:themeColor="accent2"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121">
    <w:name w:val="Colorful List Accent 3"/>
    <w:basedOn w:val="32"/>
    <w:uiPriority w:val="72"/>
    <w:pPr>
      <w:spacing w:after="0" w:line="240" w:lineRule="auto"/>
    </w:pPr>
    <w:rPr>
      <w:color w:val="000000"/>
    </w:rPr>
    <w:tblPr>
      <w:tblCellMar>
        <w:top w:w="0" w:type="dxa"/>
        <w:left w:w="108" w:type="dxa"/>
        <w:bottom w:w="0" w:type="dxa"/>
        <w:right w:w="108" w:type="dxa"/>
      </w:tblCellMar>
    </w:tblPr>
    <w:tcPr>
      <w:shd w:val="clear" w:color="auto" w:fill="F5F8EE"/>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cPr>
    </w:tblStylePr>
    <w:tblStylePr w:type="lastRow">
      <w:rPr>
        <w:b/>
        <w:bCs/>
        <w:color w:val="664F83" w:themeColor="accent4"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122">
    <w:name w:val="Colorful List Accent 4"/>
    <w:basedOn w:val="32"/>
    <w:uiPriority w:val="72"/>
    <w:pPr>
      <w:spacing w:after="0" w:line="240" w:lineRule="auto"/>
    </w:pPr>
    <w:rPr>
      <w:color w:val="000000"/>
    </w:rPr>
    <w:tblPr>
      <w:tblCellMar>
        <w:top w:w="0" w:type="dxa"/>
        <w:left w:w="108" w:type="dxa"/>
        <w:bottom w:w="0" w:type="dxa"/>
        <w:right w:w="108" w:type="dxa"/>
      </w:tblCellMar>
    </w:tblPr>
    <w:tcPr>
      <w:shd w:val="clear" w:color="auto" w:fill="F2EFF6"/>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cPr>
    </w:tblStylePr>
    <w:tblStylePr w:type="lastRow">
      <w:rPr>
        <w:b/>
        <w:bCs/>
        <w:color w:val="7E9D40" w:themeColor="accent3"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123">
    <w:name w:val="Colorful List Accent 5"/>
    <w:basedOn w:val="32"/>
    <w:uiPriority w:val="72"/>
    <w:pPr>
      <w:spacing w:after="0" w:line="240" w:lineRule="auto"/>
    </w:pPr>
    <w:rPr>
      <w:color w:val="000000"/>
    </w:rPr>
    <w:tblPr>
      <w:tblCellMar>
        <w:top w:w="0" w:type="dxa"/>
        <w:left w:w="108" w:type="dxa"/>
        <w:bottom w:w="0" w:type="dxa"/>
        <w:right w:w="108" w:type="dxa"/>
      </w:tblCellMar>
    </w:tblPr>
    <w:tcPr>
      <w:shd w:val="clear" w:color="auto" w:fill="EDF6F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2730A"/>
      </w:tcPr>
    </w:tblStylePr>
    <w:tblStylePr w:type="lastRow">
      <w:rPr>
        <w:b/>
        <w:bCs/>
        <w:color w:val="F3740B" w:themeColor="accent6"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124">
    <w:name w:val="Colorful List Accent 6"/>
    <w:basedOn w:val="32"/>
    <w:uiPriority w:val="72"/>
    <w:pPr>
      <w:spacing w:after="0" w:line="240" w:lineRule="auto"/>
    </w:pPr>
    <w:rPr>
      <w:color w:val="000000"/>
    </w:rPr>
    <w:tblPr>
      <w:tblCellMar>
        <w:top w:w="0" w:type="dxa"/>
        <w:left w:w="108" w:type="dxa"/>
        <w:bottom w:w="0" w:type="dxa"/>
        <w:right w:w="108" w:type="dxa"/>
      </w:tblCellMar>
    </w:tblPr>
    <w:tcPr>
      <w:shd w:val="clear" w:color="auto" w:fill="FEF4EC"/>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cPr>
    </w:tblStylePr>
    <w:tblStylePr w:type="lastRow">
      <w:rPr>
        <w:b/>
        <w:bCs/>
        <w:color w:val="358EA6" w:themeColor="accent5" w:themeShade="CC"/>
      </w:rPr>
      <w:tblPr/>
      <w:tcPr>
        <w:tcBorders>
          <w:top w:val="single" w:color="000000" w:themeColor="text1"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125">
    <w:name w:val="Colorful Grid"/>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themeColor="text1"/>
        <w14:textFill>
          <w14:solidFill>
            <w14:schemeClr w14:val="tx1"/>
          </w14:solidFill>
        </w14:textFill>
      </w:rPr>
      <w:tblPr/>
      <w:tcPr>
        <w:shd w:val="clear" w:color="auto" w:fill="999999"/>
      </w:tcPr>
    </w:tblStylePr>
    <w:tblStylePr w:type="firstCol">
      <w:rPr>
        <w:color w:val="FFFFFF" w:themeColor="background1"/>
        <w14:textFill>
          <w14:solidFill>
            <w14:schemeClr w14:val="bg1"/>
          </w14:solidFill>
        </w14:textFill>
      </w:rPr>
      <w:tblPr/>
      <w:tcPr>
        <w:shd w:val="clear" w:color="auto" w:fill="000000"/>
      </w:tcPr>
    </w:tblStylePr>
    <w:tblStylePr w:type="lastCol">
      <w:rPr>
        <w:color w:val="FFFFFF" w:themeColor="background1"/>
        <w14:textFill>
          <w14:solidFill>
            <w14:schemeClr w14:val="bg1"/>
          </w14:solidFill>
        </w14:textFill>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26">
    <w:name w:val="Colorful Grid Accent 1"/>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themeColor="text1"/>
        <w14:textFill>
          <w14:solidFill>
            <w14:schemeClr w14:val="tx1"/>
          </w14:solidFill>
        </w14:textFill>
      </w:rPr>
      <w:tblPr/>
      <w:tcPr>
        <w:shd w:val="clear" w:color="auto" w:fill="B8CCE4"/>
      </w:tcPr>
    </w:tblStylePr>
    <w:tblStylePr w:type="firstCol">
      <w:rPr>
        <w:color w:val="FFFFFF" w:themeColor="background1"/>
        <w14:textFill>
          <w14:solidFill>
            <w14:schemeClr w14:val="bg1"/>
          </w14:solidFill>
        </w14:textFill>
      </w:rPr>
      <w:tblPr/>
      <w:tcPr>
        <w:shd w:val="clear" w:color="auto" w:fill="365F91"/>
      </w:tcPr>
    </w:tblStylePr>
    <w:tblStylePr w:type="lastCol">
      <w:rPr>
        <w:color w:val="FFFFFF" w:themeColor="background1"/>
        <w14:textFill>
          <w14:solidFill>
            <w14:schemeClr w14:val="bg1"/>
          </w14:solidFill>
        </w14:textFill>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7">
    <w:name w:val="Colorful Grid Accent 2"/>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themeColor="text1"/>
        <w14:textFill>
          <w14:solidFill>
            <w14:schemeClr w14:val="tx1"/>
          </w14:solidFill>
        </w14:textFill>
      </w:rPr>
      <w:tblPr/>
      <w:tcPr>
        <w:shd w:val="clear" w:color="auto" w:fill="E5B8B7"/>
      </w:tcPr>
    </w:tblStylePr>
    <w:tblStylePr w:type="firstCol">
      <w:rPr>
        <w:color w:val="FFFFFF" w:themeColor="background1"/>
        <w14:textFill>
          <w14:solidFill>
            <w14:schemeClr w14:val="bg1"/>
          </w14:solidFill>
        </w14:textFill>
      </w:rPr>
      <w:tblPr/>
      <w:tcPr>
        <w:shd w:val="clear" w:color="auto" w:fill="943634"/>
      </w:tcPr>
    </w:tblStylePr>
    <w:tblStylePr w:type="lastCol">
      <w:rPr>
        <w:color w:val="FFFFFF" w:themeColor="background1"/>
        <w14:textFill>
          <w14:solidFill>
            <w14:schemeClr w14:val="bg1"/>
          </w14:solidFill>
        </w14:textFill>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128">
    <w:name w:val="Colorful Grid Accent 3"/>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themeColor="text1"/>
        <w14:textFill>
          <w14:solidFill>
            <w14:schemeClr w14:val="tx1"/>
          </w14:solidFill>
        </w14:textFill>
      </w:rPr>
      <w:tblPr/>
      <w:tcPr>
        <w:shd w:val="clear" w:color="auto" w:fill="D6E3BC"/>
      </w:tcPr>
    </w:tblStylePr>
    <w:tblStylePr w:type="firstCol">
      <w:rPr>
        <w:color w:val="FFFFFF" w:themeColor="background1"/>
        <w14:textFill>
          <w14:solidFill>
            <w14:schemeClr w14:val="bg1"/>
          </w14:solidFill>
        </w14:textFill>
      </w:rPr>
      <w:tblPr/>
      <w:tcPr>
        <w:shd w:val="clear" w:color="auto" w:fill="76923C"/>
      </w:tcPr>
    </w:tblStylePr>
    <w:tblStylePr w:type="lastCol">
      <w:rPr>
        <w:color w:val="FFFFFF" w:themeColor="background1"/>
        <w14:textFill>
          <w14:solidFill>
            <w14:schemeClr w14:val="bg1"/>
          </w14:solidFill>
        </w14:textFill>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129">
    <w:name w:val="Colorful Grid Accent 4"/>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themeColor="text1"/>
        <w14:textFill>
          <w14:solidFill>
            <w14:schemeClr w14:val="tx1"/>
          </w14:solidFill>
        </w14:textFill>
      </w:rPr>
      <w:tblPr/>
      <w:tcPr>
        <w:shd w:val="clear" w:color="auto" w:fill="CCC0D9"/>
      </w:tcPr>
    </w:tblStylePr>
    <w:tblStylePr w:type="firstCol">
      <w:rPr>
        <w:color w:val="FFFFFF" w:themeColor="background1"/>
        <w14:textFill>
          <w14:solidFill>
            <w14:schemeClr w14:val="bg1"/>
          </w14:solidFill>
        </w14:textFill>
      </w:rPr>
      <w:tblPr/>
      <w:tcPr>
        <w:shd w:val="clear" w:color="auto" w:fill="5F497A"/>
      </w:tcPr>
    </w:tblStylePr>
    <w:tblStylePr w:type="lastCol">
      <w:rPr>
        <w:color w:val="FFFFFF" w:themeColor="background1"/>
        <w14:textFill>
          <w14:solidFill>
            <w14:schemeClr w14:val="bg1"/>
          </w14:solidFill>
        </w14:textFill>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130">
    <w:name w:val="Colorful Grid Accent 5"/>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themeColor="text1"/>
        <w14:textFill>
          <w14:solidFill>
            <w14:schemeClr w14:val="tx1"/>
          </w14:solidFill>
        </w14:textFill>
      </w:rPr>
      <w:tblPr/>
      <w:tcPr>
        <w:shd w:val="clear" w:color="auto" w:fill="B6DDE8"/>
      </w:tcPr>
    </w:tblStylePr>
    <w:tblStylePr w:type="firstCol">
      <w:rPr>
        <w:color w:val="FFFFFF" w:themeColor="background1"/>
        <w14:textFill>
          <w14:solidFill>
            <w14:schemeClr w14:val="bg1"/>
          </w14:solidFill>
        </w14:textFill>
      </w:rPr>
      <w:tblPr/>
      <w:tcPr>
        <w:shd w:val="clear" w:color="auto" w:fill="31849B"/>
      </w:tcPr>
    </w:tblStylePr>
    <w:tblStylePr w:type="lastCol">
      <w:rPr>
        <w:color w:val="FFFFFF" w:themeColor="background1"/>
        <w14:textFill>
          <w14:solidFill>
            <w14:schemeClr w14:val="bg1"/>
          </w14:solidFill>
        </w14:textFill>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131">
    <w:name w:val="Colorful Grid Accent 6"/>
    <w:basedOn w:val="32"/>
    <w:uiPriority w:val="73"/>
    <w:pPr>
      <w:spacing w:after="0" w:line="240" w:lineRule="auto"/>
    </w:pPr>
    <w:rPr>
      <w:color w:val="000000"/>
    </w:rPr>
    <w:tblPr>
      <w:tblBorders>
        <w:insideH w:val="single" w:color="FFFFFF" w:sz="4" w:space="0"/>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themeColor="text1"/>
        <w14:textFill>
          <w14:solidFill>
            <w14:schemeClr w14:val="tx1"/>
          </w14:solidFill>
        </w14:textFill>
      </w:rPr>
      <w:tblPr/>
      <w:tcPr>
        <w:shd w:val="clear" w:color="auto" w:fill="FBD4B4"/>
      </w:tcPr>
    </w:tblStylePr>
    <w:tblStylePr w:type="firstCol">
      <w:rPr>
        <w:color w:val="FFFFFF" w:themeColor="background1"/>
        <w14:textFill>
          <w14:solidFill>
            <w14:schemeClr w14:val="bg1"/>
          </w14:solidFill>
        </w14:textFill>
      </w:rPr>
      <w:tblPr/>
      <w:tcPr>
        <w:shd w:val="clear" w:color="auto" w:fill="E36C0A"/>
      </w:tcPr>
    </w:tblStylePr>
    <w:tblStylePr w:type="lastCol">
      <w:rPr>
        <w:color w:val="FFFFFF" w:themeColor="background1"/>
        <w14:textFill>
          <w14:solidFill>
            <w14:schemeClr w14:val="bg1"/>
          </w14:solidFill>
        </w14:textFill>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hd w:val="clear" w:color="auto" w:fill="auto"/>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65F91"/>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sz w:val="26"/>
      <w:szCs w:val="26"/>
    </w:rPr>
  </w:style>
  <w:style w:type="character" w:customStyle="1" w:styleId="140">
    <w:name w:val="Heading 3 Char"/>
    <w:basedOn w:val="132"/>
    <w:link w:val="5"/>
    <w:uiPriority w:val="9"/>
    <w:rPr>
      <w:rFonts w:asciiTheme="majorHAnsi" w:hAnsiTheme="majorHAnsi" w:eastAsiaTheme="majorEastAsia" w:cstheme="majorBidi"/>
      <w:b/>
      <w:bCs/>
      <w:color w:val="4F81BD"/>
    </w:rPr>
  </w:style>
  <w:style w:type="character" w:customStyle="1" w:styleId="141">
    <w:name w:val="Title Char"/>
    <w:basedOn w:val="132"/>
    <w:link w:val="31"/>
    <w:uiPriority w:val="10"/>
    <w:rPr>
      <w:rFonts w:asciiTheme="majorHAnsi" w:hAnsiTheme="majorHAnsi" w:eastAsiaTheme="majorEastAsia" w:cstheme="majorBidi"/>
      <w:color w:val="17365D"/>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spacing w:val="15"/>
      <w:sz w:val="24"/>
      <w:szCs w:val="24"/>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rPr>
  </w:style>
  <w:style w:type="character" w:customStyle="1" w:styleId="149">
    <w:name w:val="Quote Char"/>
    <w:basedOn w:val="132"/>
    <w:link w:val="148"/>
    <w:uiPriority w:val="29"/>
    <w:rPr>
      <w:i/>
      <w:iCs/>
      <w:color w:val="000000"/>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rPr>
  </w:style>
  <w:style w:type="character" w:customStyle="1" w:styleId="151">
    <w:name w:val="Heading 5 Char"/>
    <w:basedOn w:val="132"/>
    <w:link w:val="7"/>
    <w:semiHidden/>
    <w:uiPriority w:val="9"/>
    <w:rPr>
      <w:rFonts w:asciiTheme="majorHAnsi" w:hAnsiTheme="majorHAnsi" w:eastAsiaTheme="majorEastAsia" w:cstheme="majorBidi"/>
      <w:color w:val="243F60"/>
    </w:rPr>
  </w:style>
  <w:style w:type="character" w:customStyle="1" w:styleId="152">
    <w:name w:val="Heading 6 Char"/>
    <w:basedOn w:val="132"/>
    <w:link w:val="8"/>
    <w:semiHidden/>
    <w:uiPriority w:val="9"/>
    <w:rPr>
      <w:rFonts w:asciiTheme="majorHAnsi" w:hAnsiTheme="majorHAnsi" w:eastAsiaTheme="majorEastAsia" w:cstheme="majorBidi"/>
      <w:i/>
      <w:iCs/>
      <w:color w:val="243F60"/>
    </w:rPr>
  </w:style>
  <w:style w:type="character" w:customStyle="1" w:styleId="153">
    <w:name w:val="Heading 7 Char"/>
    <w:basedOn w:val="132"/>
    <w:link w:val="9"/>
    <w:semiHidden/>
    <w:uiPriority w:val="9"/>
    <w:rPr>
      <w:rFonts w:asciiTheme="majorHAnsi" w:hAnsiTheme="majorHAnsi" w:eastAsiaTheme="majorEastAsia" w:cstheme="majorBidi"/>
      <w:i/>
      <w:iCs/>
      <w:color w:val="404040"/>
    </w:rPr>
  </w:style>
  <w:style w:type="character" w:customStyle="1" w:styleId="154">
    <w:name w:val="Heading 8 Char"/>
    <w:basedOn w:val="132"/>
    <w:link w:val="10"/>
    <w:semiHidden/>
    <w:uiPriority w:val="9"/>
    <w:rPr>
      <w:rFonts w:asciiTheme="majorHAnsi" w:hAnsiTheme="majorHAnsi" w:eastAsiaTheme="majorEastAsia" w:cstheme="majorBidi"/>
      <w:color w:val="4F81BD"/>
      <w:sz w:val="20"/>
      <w:szCs w:val="20"/>
    </w:rPr>
  </w:style>
  <w:style w:type="character" w:customStyle="1" w:styleId="155">
    <w:name w:val="Heading 9 Char"/>
    <w:basedOn w:val="132"/>
    <w:link w:val="11"/>
    <w:semiHidden/>
    <w:uiPriority w:val="9"/>
    <w:rPr>
      <w:rFonts w:asciiTheme="majorHAnsi" w:hAnsiTheme="majorHAnsi" w:eastAsiaTheme="majorEastAsia" w:cstheme="majorBidi"/>
      <w:i/>
      <w:iCs/>
      <w:color w:val="404040"/>
      <w:sz w:val="20"/>
      <w:szCs w:val="20"/>
    </w:rPr>
  </w:style>
  <w:style w:type="paragraph" w:styleId="156">
    <w:name w:val="Intense Quote"/>
    <w:basedOn w:val="1"/>
    <w:next w:val="1"/>
    <w:link w:val="157"/>
    <w:qFormat/>
    <w:uiPriority w:val="30"/>
    <w:pPr>
      <w:pBdr>
        <w:bottom w:val="single" w:color="4F81BD" w:sz="4" w:space="4"/>
      </w:pBdr>
      <w:spacing w:before="200" w:after="280"/>
      <w:ind w:left="936" w:right="936"/>
    </w:pPr>
    <w:rPr>
      <w:b/>
      <w:bCs/>
      <w:i/>
      <w:iCs/>
      <w:color w:val="4F81BD"/>
    </w:rPr>
  </w:style>
  <w:style w:type="character" w:customStyle="1" w:styleId="157">
    <w:name w:val="Intense Quote Char"/>
    <w:basedOn w:val="132"/>
    <w:link w:val="156"/>
    <w:uiPriority w:val="30"/>
    <w:rPr>
      <w:b/>
      <w:bCs/>
      <w:i/>
      <w:iCs/>
      <w:color w:val="4F81BD"/>
    </w:rPr>
  </w:style>
  <w:style w:type="character" w:customStyle="1" w:styleId="158">
    <w:name w:val="Subtle Emphasis"/>
    <w:basedOn w:val="132"/>
    <w:qFormat/>
    <w:uiPriority w:val="19"/>
    <w:rPr>
      <w:i/>
      <w:iCs/>
      <w:color w:val="808080"/>
    </w:rPr>
  </w:style>
  <w:style w:type="character" w:customStyle="1" w:styleId="159">
    <w:name w:val="Intense Emphasis"/>
    <w:basedOn w:val="132"/>
    <w:qFormat/>
    <w:uiPriority w:val="21"/>
    <w:rPr>
      <w:b/>
      <w:bCs/>
      <w:i/>
      <w:iCs/>
      <w:color w:val="4F81BD"/>
    </w:rPr>
  </w:style>
  <w:style w:type="character" w:customStyle="1" w:styleId="160">
    <w:name w:val="Subtle Reference"/>
    <w:basedOn w:val="132"/>
    <w:qFormat/>
    <w:uiPriority w:val="31"/>
    <w:rPr>
      <w:smallCaps/>
      <w:color w:val="C0504D"/>
      <w:u w:val="single"/>
    </w:rPr>
  </w:style>
  <w:style w:type="character" w:customStyle="1" w:styleId="161">
    <w:name w:val="Intense Reference"/>
    <w:basedOn w:val="132"/>
    <w:qFormat/>
    <w:uiPriority w:val="32"/>
    <w:rPr>
      <w:b/>
      <w:bCs/>
      <w:smallCaps/>
      <w:color w:val="C0504D"/>
      <w:spacing w:val="5"/>
      <w:u w:val="single"/>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21</Pages>
  <Words>5018</Words>
  <Characters>5204</Characters>
  <Lines>0</Lines>
  <Paragraphs>0</Paragraphs>
  <TotalTime>2</TotalTime>
  <ScaleCrop>false</ScaleCrop>
  <LinksUpToDate>false</LinksUpToDate>
  <CharactersWithSpaces>5425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2025-06-13T21:51:00Z</dcterms:created>
  <dc:creator>HD</dc:creator>
  <cp:lastModifiedBy>薛东西</cp:lastModifiedBy>
  <dcterms:modified xsi:type="dcterms:W3CDTF">2025-08-27T03:19:01Z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eyJoZGlkIjoiZWNhYzc5NThlMmQ4YTlhZTI0ZTMyYWFhZWUyMTMxNjciLCJ1c2VySWQiOiI2NTMyMjMzMTEifQ==</vt:lpwstr>
  </property>
  <property fmtid="{D5CDD505-2E9C-101B-9397-08002B2CF9AE}" pid="3" name="KSOProductBuildVer">
    <vt:lpwstr>2052-12.1.0.22529</vt:lpwstr>
  </property>
  <property fmtid="{D5CDD505-2E9C-101B-9397-08002B2CF9AE}" pid="4" name="ICV">
    <vt:lpwstr>4F5473E1CF9D40748A2465C6C5FA5C79_12</vt:lpwstr>
  </property>
</Properties>
</file>