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b/>
          <w:bCs/>
          <w:sz w:val="36"/>
          <w:szCs w:val="44"/>
        </w:rPr>
        <w:t>《大学生创新创业</w:t>
      </w:r>
      <w:r>
        <w:rPr>
          <w:rFonts w:hint="eastAsia"/>
          <w:b/>
          <w:bCs/>
          <w:sz w:val="36"/>
          <w:szCs w:val="44"/>
          <w:lang w:val="en-US" w:eastAsia="zh-CN"/>
        </w:rPr>
        <w:t>教育</w:t>
      </w:r>
      <w:r>
        <w:rPr>
          <w:rFonts w:hint="eastAsia"/>
          <w:b/>
          <w:bCs/>
          <w:sz w:val="36"/>
          <w:szCs w:val="44"/>
        </w:rPr>
        <w:t>》课程标准</w:t>
      </w:r>
    </w:p>
    <w:p w14:paraId="5B12DD8A">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rPr>
      </w:pPr>
      <w:r>
        <w:rPr>
          <w:rFonts w:hint="eastAsia" w:ascii="黑体" w:hAnsi="黑体" w:eastAsia="黑体" w:cs="黑体"/>
          <w:b w:val="0"/>
          <w:bCs w:val="0"/>
          <w:sz w:val="28"/>
          <w:szCs w:val="36"/>
        </w:rPr>
        <w:t>一、课程标识</w:t>
      </w:r>
    </w:p>
    <w:p w14:paraId="7E663ABF">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课程代码：</w:t>
      </w:r>
    </w:p>
    <w:p w14:paraId="1645F002">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课程类别：公共必修课</w:t>
      </w:r>
    </w:p>
    <w:p w14:paraId="20F85B27">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学    时：32（线上线下结合）</w:t>
      </w:r>
    </w:p>
    <w:p w14:paraId="1C7728CC">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学    分：2分</w:t>
      </w:r>
    </w:p>
    <w:p w14:paraId="17BEEB73">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适用专业：适用全院各专业学生</w:t>
      </w:r>
    </w:p>
    <w:p w14:paraId="619DC014">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编    制：</w:t>
      </w:r>
    </w:p>
    <w:p w14:paraId="46032F02">
      <w:pPr>
        <w:keepNext w:val="0"/>
        <w:keepLines w:val="0"/>
        <w:pageBreakBefore w:val="0"/>
        <w:widowControl w:val="0"/>
        <w:kinsoku/>
        <w:wordWrap/>
        <w:overflowPunct/>
        <w:topLinePunct w:val="0"/>
        <w:autoSpaceDE/>
        <w:autoSpaceDN/>
        <w:bidi w:val="0"/>
        <w:adjustRightInd/>
        <w:snapToGrid/>
        <w:spacing w:line="288" w:lineRule="auto"/>
        <w:ind w:firstLine="960" w:firstLineChars="400"/>
        <w:textAlignment w:val="auto"/>
        <w:rPr>
          <w:rFonts w:hint="eastAsia"/>
          <w:sz w:val="24"/>
          <w:szCs w:val="32"/>
        </w:rPr>
      </w:pPr>
      <w:r>
        <w:rPr>
          <w:rFonts w:hint="eastAsia" w:asciiTheme="minorEastAsia" w:hAnsiTheme="minorEastAsia" w:eastAsiaTheme="minorEastAsia" w:cstheme="minorEastAsia"/>
          <w:sz w:val="24"/>
          <w:szCs w:val="32"/>
        </w:rPr>
        <w:t>审    定：</w:t>
      </w:r>
    </w:p>
    <w:p w14:paraId="3A73D358">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rPr>
      </w:pPr>
      <w:r>
        <w:rPr>
          <w:rFonts w:hint="eastAsia" w:ascii="黑体" w:hAnsi="黑体" w:eastAsia="黑体" w:cs="黑体"/>
          <w:b w:val="0"/>
          <w:bCs w:val="0"/>
          <w:sz w:val="28"/>
          <w:szCs w:val="36"/>
        </w:rPr>
        <w:t>二、课程概述</w:t>
      </w:r>
    </w:p>
    <w:p w14:paraId="6061F7F8">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rPr>
      </w:pPr>
      <w:r>
        <w:rPr>
          <w:rFonts w:hint="eastAsia" w:ascii="楷体" w:hAnsi="楷体" w:eastAsia="楷体" w:cs="楷体"/>
          <w:b/>
          <w:bCs/>
          <w:sz w:val="28"/>
          <w:szCs w:val="36"/>
        </w:rPr>
        <w:t>（一）制定依据</w:t>
      </w:r>
    </w:p>
    <w:p w14:paraId="1D05350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本标准依据全院各专业制定的人才培养方案中提出的应该培养学生“创新创业能力、掌握创新创业方法”的培养目标而制定，是根据国务院办公厅《关于深化高等学校创新创业教育改革的实施意见》(国办发 [2015]36号)、《教育部关于大力推进高等学校创新创业教育和大学生自主创业工作的意见》(教办[2010] 3号)的通知精神而设置的公共必修课。</w:t>
      </w:r>
    </w:p>
    <w:p w14:paraId="01E2210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rPr>
      </w:pPr>
      <w:r>
        <w:rPr>
          <w:rFonts w:hint="eastAsia" w:asciiTheme="minorEastAsia" w:hAnsiTheme="minorEastAsia" w:eastAsiaTheme="minorEastAsia" w:cstheme="minorEastAsia"/>
          <w:sz w:val="24"/>
          <w:szCs w:val="32"/>
        </w:rPr>
        <w:t>国务院办公厅印发的《关于深化高等学校创新创业教育改革的实施意见》，提出了9项改革任务、30余条具体举措，坚持市场导向、加强政策集成、强化开放共享、创新服务模式，重点抓好八个方面的任务：一是构建一批低成本、便利化、全要素、开放式的众创空间；二是降低创新创业门槛；三是鼓励科技人员和大学生创业；四是支持创新创业公共服务；五是加强财政资金引导；六是完善创业投融资机制；七是丰富创新创业活动；八是营造创新创业文化氛围。形成一批可复制可推广的制度成果，普及创新创业教育，实现新一轮“大学生创业引领计划”预期目标。根据国家对大学生创新创业这些重要指示制定了本课程标准。</w:t>
      </w:r>
    </w:p>
    <w:p w14:paraId="2B736A46">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rPr>
      </w:pPr>
      <w:r>
        <w:rPr>
          <w:rFonts w:hint="eastAsia" w:ascii="楷体" w:hAnsi="楷体" w:eastAsia="楷体" w:cs="楷体"/>
          <w:b/>
          <w:bCs/>
          <w:sz w:val="28"/>
          <w:szCs w:val="36"/>
        </w:rPr>
        <w:t>（二）课程性质</w:t>
      </w:r>
    </w:p>
    <w:p w14:paraId="5347D50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《大学生创新创业</w:t>
      </w:r>
      <w:r>
        <w:rPr>
          <w:rFonts w:hint="eastAsia" w:asciiTheme="minorEastAsia" w:hAnsiTheme="minorEastAsia" w:cstheme="minorEastAsia"/>
          <w:sz w:val="24"/>
          <w:szCs w:val="32"/>
          <w:lang w:val="en-US" w:eastAsia="zh-CN"/>
        </w:rPr>
        <w:t>教育</w:t>
      </w:r>
      <w:r>
        <w:rPr>
          <w:rFonts w:hint="eastAsia" w:asciiTheme="minorEastAsia" w:hAnsiTheme="minorEastAsia" w:eastAsiaTheme="minorEastAsia" w:cstheme="minorEastAsia"/>
          <w:sz w:val="24"/>
          <w:szCs w:val="32"/>
        </w:rPr>
        <w:t>》是各专业</w:t>
      </w:r>
      <w:r>
        <w:rPr>
          <w:rFonts w:hint="eastAsia" w:asciiTheme="minorEastAsia" w:hAnsiTheme="minorEastAsia" w:cstheme="minorEastAsia"/>
          <w:sz w:val="24"/>
          <w:szCs w:val="32"/>
          <w:lang w:val="en-US" w:eastAsia="zh-CN"/>
        </w:rPr>
        <w:t>大</w:t>
      </w:r>
      <w:r>
        <w:rPr>
          <w:rFonts w:hint="eastAsia" w:asciiTheme="minorEastAsia" w:hAnsiTheme="minorEastAsia" w:eastAsiaTheme="minorEastAsia" w:cstheme="minorEastAsia"/>
          <w:sz w:val="24"/>
          <w:szCs w:val="32"/>
        </w:rPr>
        <w:t>学生的一门公共必修课，是把创新创业融入大学生职业生涯规划的重要课程，是把创新、创业、科教兴国等内容融合一体的学科，以研究</w:t>
      </w:r>
      <w:r>
        <w:rPr>
          <w:rFonts w:hint="eastAsia" w:asciiTheme="minorEastAsia" w:hAnsiTheme="minorEastAsia" w:cstheme="minorEastAsia"/>
          <w:sz w:val="24"/>
          <w:szCs w:val="32"/>
          <w:lang w:val="en-US" w:eastAsia="zh-CN"/>
        </w:rPr>
        <w:t>大学生</w:t>
      </w:r>
      <w:r>
        <w:rPr>
          <w:rFonts w:hint="eastAsia" w:asciiTheme="minorEastAsia" w:hAnsiTheme="minorEastAsia" w:eastAsiaTheme="minorEastAsia" w:cstheme="minorEastAsia"/>
          <w:sz w:val="24"/>
          <w:szCs w:val="32"/>
        </w:rPr>
        <w:t>如何根据自己所修专业、能力特长在国家政策的大力支持下，建立合理的创业观念与意识，如何创业，在创业过程中如何把握机会与风险，如何在“互联网+”时代找寻创业项目，如何招募与管理创业团队，如何融资与新企业的注册与运营等为核心内容的课程。</w:t>
      </w:r>
    </w:p>
    <w:p w14:paraId="6C09CD69">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rPr>
      </w:pPr>
      <w:r>
        <w:rPr>
          <w:rFonts w:hint="eastAsia" w:ascii="楷体" w:hAnsi="楷体" w:eastAsia="楷体" w:cs="楷体"/>
          <w:b/>
          <w:bCs/>
          <w:sz w:val="28"/>
          <w:szCs w:val="36"/>
        </w:rPr>
        <w:t>（三）课程地位与作用</w:t>
      </w:r>
    </w:p>
    <w:p w14:paraId="19C8705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《大学生创新创业</w:t>
      </w:r>
      <w:r>
        <w:rPr>
          <w:rFonts w:hint="eastAsia" w:asciiTheme="minorEastAsia" w:hAnsiTheme="minorEastAsia" w:cstheme="minorEastAsia"/>
          <w:sz w:val="24"/>
          <w:szCs w:val="32"/>
          <w:lang w:val="en-US" w:eastAsia="zh-CN"/>
        </w:rPr>
        <w:t>教育</w:t>
      </w:r>
      <w:r>
        <w:rPr>
          <w:rFonts w:hint="eastAsia" w:asciiTheme="minorEastAsia" w:hAnsiTheme="minorEastAsia" w:eastAsiaTheme="minorEastAsia" w:cstheme="minorEastAsia"/>
          <w:sz w:val="24"/>
          <w:szCs w:val="32"/>
        </w:rPr>
        <w:t>》是全院各专业学生的一门公共必修课，它的产生和发展与</w:t>
      </w:r>
      <w:r>
        <w:rPr>
          <w:rFonts w:hint="eastAsia" w:asciiTheme="minorEastAsia" w:hAnsiTheme="minorEastAsia" w:cstheme="minorEastAsia"/>
          <w:sz w:val="24"/>
          <w:szCs w:val="32"/>
          <w:lang w:val="en-US" w:eastAsia="zh-CN"/>
        </w:rPr>
        <w:t>大学</w:t>
      </w:r>
      <w:r>
        <w:rPr>
          <w:rFonts w:hint="eastAsia" w:asciiTheme="minorEastAsia" w:hAnsiTheme="minorEastAsia" w:eastAsiaTheme="minorEastAsia" w:cstheme="minorEastAsia"/>
          <w:sz w:val="24"/>
          <w:szCs w:val="32"/>
        </w:rPr>
        <w:t>生人生规划、人生价值实现等密切相关，大学生创新创业是大学学习生涯中最重要的学习内容之一，是与《大学生就业指导》《大学生职业生涯规划》《大学生心理健康教育》《大学生思想品德修养》及各专业课程相互融合、相辅相成、相得益彰的交叉学科。是在学习《大学生就业指导》《大学生职业生涯规划》《大学生心理健康教育》及各专业课程学习基础上开设的一门公共通识课程，对大学生专业学习、创新观念加强、创业意识增强、职业素养形成及综合职业能力提高都具有重大理论与实践指导意义。</w:t>
      </w:r>
    </w:p>
    <w:p w14:paraId="6855E0D7">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三、设计思路</w:t>
      </w:r>
    </w:p>
    <w:p w14:paraId="353FC9E9">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（一）总体设计思路</w:t>
      </w:r>
    </w:p>
    <w:p w14:paraId="4548376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本课程是一门</w:t>
      </w:r>
      <w:r>
        <w:rPr>
          <w:rFonts w:hint="eastAsia" w:asciiTheme="minorEastAsia" w:hAnsiTheme="minorEastAsia" w:cstheme="minorEastAsia"/>
          <w:sz w:val="24"/>
          <w:szCs w:val="32"/>
          <w:lang w:val="en-US" w:eastAsia="zh-CN"/>
        </w:rPr>
        <w:t>以</w:t>
      </w:r>
      <w:r>
        <w:rPr>
          <w:rFonts w:hint="eastAsia" w:asciiTheme="minorEastAsia" w:hAnsiTheme="minorEastAsia" w:eastAsiaTheme="minorEastAsia" w:cstheme="minorEastAsia"/>
          <w:sz w:val="24"/>
          <w:szCs w:val="32"/>
        </w:rPr>
        <w:t>创业实践指导为核心，以创新创业理论为主导的理论+实践的课程，教学指导思想是在规定的课时内精讲创新观念内涵、创新与创业的关系、创业者个性特征、创业团队招募与管理、创业项目选择、创业融资、创业机会把握与风险控制、新公司成立与运营等内容，用灵活多样的教学方法激发学生学习兴趣。</w:t>
      </w:r>
    </w:p>
    <w:p w14:paraId="6071623F">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（二）教学内容设计原则</w:t>
      </w:r>
    </w:p>
    <w:p w14:paraId="78CCE45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本课程教学内容设计的原则是以国务院办公厅印发</w:t>
      </w:r>
      <w:r>
        <w:rPr>
          <w:rFonts w:hint="eastAsia" w:asciiTheme="minorEastAsia" w:hAnsiTheme="minorEastAsia" w:cstheme="minorEastAsia"/>
          <w:sz w:val="24"/>
          <w:szCs w:val="32"/>
          <w:lang w:val="en-US" w:eastAsia="zh-CN"/>
        </w:rPr>
        <w:t>的</w:t>
      </w:r>
      <w:r>
        <w:rPr>
          <w:rFonts w:hint="eastAsia" w:asciiTheme="minorEastAsia" w:hAnsiTheme="minorEastAsia" w:eastAsiaTheme="minorEastAsia" w:cstheme="minorEastAsia"/>
          <w:sz w:val="24"/>
          <w:szCs w:val="32"/>
        </w:rPr>
        <w:t>《关于深化高等学校创新创业教育改革的实施意见》为准则，着重培养学生的创新创业能力，打破一切体制机制的障碍，让每个有创业梦想的大学生都拥有自主创业的机会，让创新成为新时代大学生的前进动力，让创新精神蔚然成风，形成“万众创新、人人创新”的新形态，鼓励大学生投身各类创新创业大赛，锻炼创新创业能力，使大学生成为国家创新创业的主力军。</w:t>
      </w:r>
    </w:p>
    <w:p w14:paraId="34876339">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（三）教学方法设计的依据</w:t>
      </w:r>
    </w:p>
    <w:p w14:paraId="1B54E4CA">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本课程教学方法设计的原则是</w:t>
      </w:r>
      <w:r>
        <w:rPr>
          <w:rFonts w:hint="eastAsia" w:asciiTheme="minorEastAsia" w:hAnsiTheme="minorEastAsia" w:cstheme="minorEastAsia"/>
          <w:sz w:val="24"/>
          <w:szCs w:val="32"/>
          <w:lang w:val="en-US" w:eastAsia="zh-CN"/>
        </w:rPr>
        <w:t>以</w:t>
      </w:r>
      <w:r>
        <w:rPr>
          <w:rFonts w:hint="eastAsia" w:asciiTheme="minorEastAsia" w:hAnsiTheme="minorEastAsia" w:eastAsiaTheme="minorEastAsia" w:cstheme="minorEastAsia"/>
          <w:sz w:val="24"/>
          <w:szCs w:val="32"/>
        </w:rPr>
        <w:t>《国务院办公厅关于进一步支持大学生创新创业的指导意见》‌（国办发〔2021〕35号）为依据，进一步推进“互联网+教育”教学模式，在教学改革中的创新总体要求，充分利用网络共享教学资源</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加强优质在线教育课程资源的使用</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提高教学效率，教学方法设计如下：</w:t>
      </w:r>
    </w:p>
    <w:p w14:paraId="0AE3A8C2">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1、采用线上线下混合教学模式</w:t>
      </w:r>
    </w:p>
    <w:p w14:paraId="4F02405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课程学习方式为线上学生自主学习和线下教师集中辅导相结合</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线上自主学习由学生结合教学进度自主安排学习时间</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线下集中辅导由课程辅导教师组织学生对当前学习内容存在的问题进行答疑解惑，查漏补缺、总结、拓展和分享，课程运行管理由教务处负责，课程实施由通识学院创新创业教研室负责完成。</w:t>
      </w:r>
    </w:p>
    <w:p w14:paraId="312B5EB3">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2、线上教学资源选用</w:t>
      </w:r>
    </w:p>
    <w:p w14:paraId="3D0F4B4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经过对多家互联网教学平台进行考察对比，最后确定使用</w:t>
      </w:r>
      <w:r>
        <w:rPr>
          <w:rFonts w:hint="eastAsia" w:asciiTheme="minorEastAsia" w:hAnsiTheme="minorEastAsia" w:cstheme="minorEastAsia"/>
          <w:sz w:val="24"/>
          <w:szCs w:val="32"/>
          <w:lang w:val="en-US" w:eastAsia="zh-CN"/>
        </w:rPr>
        <w:t>国家高等教育智慧教育平台</w:t>
      </w:r>
      <w:r>
        <w:rPr>
          <w:rFonts w:hint="eastAsia" w:asciiTheme="minorEastAsia" w:hAnsiTheme="minorEastAsia" w:eastAsiaTheme="minorEastAsia" w:cstheme="minorEastAsia"/>
          <w:sz w:val="24"/>
          <w:szCs w:val="32"/>
        </w:rPr>
        <w:t>共享课程进行线上教学。</w:t>
      </w:r>
    </w:p>
    <w:p w14:paraId="006A8C18">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3、辅导教师职责</w:t>
      </w:r>
    </w:p>
    <w:p w14:paraId="1B239C76">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lang w:eastAsia="zh-CN"/>
        </w:rPr>
      </w:pPr>
      <w:r>
        <w:rPr>
          <w:rFonts w:hint="eastAsia" w:asciiTheme="minorEastAsia" w:hAnsiTheme="minorEastAsia" w:eastAsiaTheme="minorEastAsia" w:cstheme="minorEastAsia"/>
          <w:sz w:val="24"/>
          <w:szCs w:val="32"/>
        </w:rPr>
        <w:t>辅导教师由校内教师担任，辅导教师应具有较好的沟通协作能力</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热心服务且诚信尽职</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并具备较便利的上网条件</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有较好的人文修养并熟悉创新创业课程内容，辅导教师的工作职责如下</w:t>
      </w:r>
      <w:r>
        <w:rPr>
          <w:rFonts w:hint="eastAsia" w:asciiTheme="minorEastAsia" w:hAnsiTheme="minorEastAsia" w:cstheme="minorEastAsia"/>
          <w:sz w:val="24"/>
          <w:szCs w:val="32"/>
          <w:lang w:eastAsia="zh-CN"/>
        </w:rPr>
        <w:t>：</w:t>
      </w:r>
    </w:p>
    <w:p w14:paraId="01EAC6F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lang w:val="en-US" w:eastAsia="zh-CN"/>
        </w:rPr>
        <w:t>1</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引导学生学习：课程辅导教师对学生进行线上线下学习内容指导。指导形式包括课程论坛、公告、微信、QQ、课程线下</w:t>
      </w:r>
      <w:r>
        <w:rPr>
          <w:rFonts w:hint="eastAsia" w:asciiTheme="minorEastAsia" w:hAnsiTheme="minorEastAsia" w:cstheme="minorEastAsia"/>
          <w:sz w:val="24"/>
          <w:szCs w:val="32"/>
          <w:lang w:val="en-US" w:eastAsia="zh-CN"/>
        </w:rPr>
        <w:t>课堂教学</w:t>
      </w:r>
      <w:r>
        <w:rPr>
          <w:rFonts w:hint="eastAsia" w:asciiTheme="minorEastAsia" w:hAnsiTheme="minorEastAsia" w:eastAsiaTheme="minorEastAsia" w:cstheme="minorEastAsia"/>
          <w:sz w:val="24"/>
          <w:szCs w:val="32"/>
        </w:rPr>
        <w:t>集体辅导等，教师要向学生讲解清楚课程概貌、教学进度安排、学习内容总结及考核方式与要求等内容。</w:t>
      </w:r>
    </w:p>
    <w:p w14:paraId="370EA3A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lang w:val="en-US" w:eastAsia="zh-CN"/>
        </w:rPr>
        <w:t>2</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组织学生进行集体研讨：集体研讨根据课程内容安排，每次不少于2课时。线下集中研讨要与学院其它课程一样，要求遵守学院各项教学规定，要求教学资料完整，包括教学计划、首页、教案等。</w:t>
      </w:r>
    </w:p>
    <w:p w14:paraId="37D26989">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lang w:val="en-US" w:eastAsia="zh-CN"/>
        </w:rPr>
        <w:t>3</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督促学生在规定时间内完成学习任务</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组织学生按规定参加课程线上线下及考核等教学环节。</w:t>
      </w:r>
    </w:p>
    <w:p w14:paraId="0B992E6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lang w:val="en-US" w:eastAsia="zh-CN"/>
        </w:rPr>
        <w:t>4</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根据课程内容制定线下考核内容和考核方式。</w:t>
      </w:r>
    </w:p>
    <w:p w14:paraId="70D4D9F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lang w:val="en-US" w:eastAsia="zh-CN"/>
        </w:rPr>
        <w:t>5</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批阅学生线下考试试卷</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负责学生成绩评定及成绩录入。</w:t>
      </w:r>
    </w:p>
    <w:p w14:paraId="57480D7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（四）本课程根据</w:t>
      </w:r>
      <w:r>
        <w:rPr>
          <w:rFonts w:hint="eastAsia" w:asciiTheme="minorEastAsia" w:hAnsiTheme="minorEastAsia" w:cstheme="minorEastAsia"/>
          <w:sz w:val="24"/>
          <w:szCs w:val="32"/>
          <w:lang w:val="en-US" w:eastAsia="zh-CN"/>
        </w:rPr>
        <w:t>大学</w:t>
      </w:r>
      <w:r>
        <w:rPr>
          <w:rFonts w:hint="eastAsia" w:asciiTheme="minorEastAsia" w:hAnsiTheme="minorEastAsia" w:eastAsiaTheme="minorEastAsia" w:cstheme="minorEastAsia"/>
          <w:sz w:val="24"/>
          <w:szCs w:val="32"/>
        </w:rPr>
        <w:t>生在创新创业中遇到的问题，有针对性地开展大学生创业意识培养、创业机会与风险把控、创业融资与资金管理、创业团队的组建及管理、创新精神的培养、创业计划书的撰写与展示，以及“互联网+”</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“挑战杯”等创新大赛等内容介绍与参赛方法等，培养学生转变错误的职业规划观念，正确面对创业过程中遇到的困难与问题，引导学生根据社会就业岗位去设计自我可行的、合理的职业发展道路。</w:t>
      </w:r>
    </w:p>
    <w:p w14:paraId="7831B53F">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（五）基于工作过程为导向的课程建设理念，以案例教学法为主线，以情境化教学为手段设计课程内容和实施教学。</w:t>
      </w:r>
    </w:p>
    <w:p w14:paraId="52E689B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1、线上理论知识点的讲解与线下能力训练为主的多媒体情境教学相结合。</w:t>
      </w:r>
    </w:p>
    <w:p w14:paraId="1FFF8D8A">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按照“基于工作过程”的课程建设要求，采用“讲-演-练-评”四位一体的技能教学模式，实施情境教学，从信息的收集、计划的制定、方案的选择、目标的实施、信息的反馈到成果的评价，让学生积极参与线上、线下混合式教学环节的全过程。</w:t>
      </w:r>
    </w:p>
    <w:p w14:paraId="28B57D4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加强对学生职业能力的培养，设计探索性工作任务，培养学生团队协作精神，以团队合作、角色扮演和职场仿真训练等教学方法和手段组织和实施教学，使学生掌握创新创业的基本理论与方法，通过案例教学法使学生很快获得创新创业的能力。</w:t>
      </w:r>
    </w:p>
    <w:p w14:paraId="73B9B6F6">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（六）为提高网络共享课程教学质量</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按教学计划规定的内容，结合学校实际</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坚持“知识够用、技能培养为主”</w:t>
      </w:r>
      <w:r>
        <w:rPr>
          <w:rFonts w:hint="eastAsia" w:asciiTheme="minorEastAsia" w:hAnsiTheme="minorEastAsia" w:cstheme="minorEastAsia"/>
          <w:sz w:val="24"/>
          <w:szCs w:val="32"/>
          <w:lang w:val="en-US" w:eastAsia="zh-CN"/>
        </w:rPr>
        <w:t>的</w:t>
      </w:r>
      <w:r>
        <w:rPr>
          <w:rFonts w:hint="eastAsia" w:asciiTheme="minorEastAsia" w:hAnsiTheme="minorEastAsia" w:eastAsiaTheme="minorEastAsia" w:cstheme="minorEastAsia"/>
          <w:sz w:val="24"/>
          <w:szCs w:val="32"/>
        </w:rPr>
        <w:t>教学目标，降低理论难度，增强实用性，适时选用提问、讨论及小组协作等生动多样的多种教学方法，设置职场教学情境，营造师生互动、生生互动的学习氛围，提高课堂教学吸引力、感染力，调动学生学习积极性，使学生边学习、边实践、边思考、边总结、边建构，增强学生综合求职能力。</w:t>
      </w:r>
    </w:p>
    <w:p w14:paraId="6FFCEF8A">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四、课程目标</w:t>
      </w:r>
    </w:p>
    <w:p w14:paraId="1434B205">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（一）总体目标</w:t>
      </w:r>
    </w:p>
    <w:p w14:paraId="7A109B10">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通过大学生创新创业教育，使大学生认识到创新创业教育对国家、民族、家庭及个人发展的重要性，使大学生掌握创新创业基本理论与方法，提升创新创业实践操作能力，拓宽大学生就业渠道，缓解就业压力，为大学生未来创新创业做好准备与科学指导。</w:t>
      </w:r>
    </w:p>
    <w:p w14:paraId="5D7C1AD0">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（二）具体目标</w:t>
      </w:r>
    </w:p>
    <w:p w14:paraId="0468F8F4">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1、素质目标：</w:t>
      </w:r>
    </w:p>
    <w:p w14:paraId="6A8C24E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① 获得诚实守信、爱岗敬业的职业道德；以航天精神、长征精神鼓励大学生正确面对创业过程中的挫折与压力；</w:t>
      </w:r>
    </w:p>
    <w:p w14:paraId="6AEB107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② 培养勤劳肯干、艰苦奋斗的劳动精神与“我敢闯、我想创”的拼搏精神；</w:t>
      </w:r>
    </w:p>
    <w:p w14:paraId="3E6A585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③ 养成自觉遵守社会公德、遵守职业规范的职业素养；</w:t>
      </w:r>
    </w:p>
    <w:p w14:paraId="485F716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④ 养成善思考、勤动手、肯钻研的创业精神。</w:t>
      </w:r>
    </w:p>
    <w:p w14:paraId="4CBC76F5">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b/>
          <w:bCs/>
          <w:sz w:val="24"/>
          <w:szCs w:val="32"/>
        </w:rPr>
        <w:t>2、知识目标</w:t>
      </w:r>
    </w:p>
    <w:p w14:paraId="27A04CE9">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① 了解创新、创业的内涵及基本理论知识；</w:t>
      </w:r>
    </w:p>
    <w:p w14:paraId="07F80B7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② 掌握创业机会、创业项目、创业资源、创业风险及新公司的成立运营等理论知识；</w:t>
      </w:r>
    </w:p>
    <w:p w14:paraId="5027481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③ 了解创业者及创业团队所具备的基本素质；</w:t>
      </w:r>
    </w:p>
    <w:p w14:paraId="03DFE31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④ 了解大学生创新思维方法基本理论知识。</w:t>
      </w:r>
    </w:p>
    <w:p w14:paraId="299407AE">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b/>
          <w:bCs/>
          <w:sz w:val="24"/>
          <w:szCs w:val="32"/>
        </w:rPr>
        <w:t>3、能力目标</w:t>
      </w:r>
    </w:p>
    <w:p w14:paraId="2CB0BDE3">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① 使学生掌握创业项目选择、机会把握、商业模式选择及创业资源利用等方法；</w:t>
      </w:r>
    </w:p>
    <w:p w14:paraId="3301666F">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② 使学生学会把握创业机会，学会撰写创业计划书及进行市场调研的方法；</w:t>
      </w:r>
    </w:p>
    <w:p w14:paraId="0B50F9B0">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③ 使学生学会创业过程中发散思维应用方法；</w:t>
      </w:r>
    </w:p>
    <w:p w14:paraId="336E195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④ 使学生学会依据5W2H分析法进行创业项目可行性分析。</w:t>
      </w:r>
    </w:p>
    <w:p w14:paraId="4E81B380">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五、课程内容设计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3"/>
        <w:gridCol w:w="2019"/>
        <w:gridCol w:w="4154"/>
        <w:gridCol w:w="738"/>
        <w:gridCol w:w="748"/>
      </w:tblGrid>
      <w:tr w14:paraId="40EA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vMerge w:val="restart"/>
            <w:vAlign w:val="center"/>
          </w:tcPr>
          <w:p w14:paraId="0D5E5CD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r>
              <w:rPr>
                <w:rFonts w:hint="eastAsia" w:asciiTheme="minorEastAsia" w:hAnsiTheme="minorEastAsia" w:eastAsiaTheme="minorEastAsia" w:cstheme="minorEastAsia"/>
                <w:b/>
                <w:bCs/>
                <w:sz w:val="21"/>
                <w:szCs w:val="24"/>
                <w:vertAlign w:val="baseline"/>
              </w:rPr>
              <w:t>序号</w:t>
            </w:r>
          </w:p>
        </w:tc>
        <w:tc>
          <w:tcPr>
            <w:tcW w:w="2019" w:type="dxa"/>
            <w:vMerge w:val="restart"/>
            <w:vAlign w:val="center"/>
          </w:tcPr>
          <w:p w14:paraId="3E01CDD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b/>
                <w:bCs/>
                <w:sz w:val="21"/>
                <w:szCs w:val="24"/>
                <w:vertAlign w:val="baseline"/>
                <w:lang w:val="en-US" w:eastAsia="zh-CN"/>
              </w:rPr>
            </w:pPr>
            <w:r>
              <w:rPr>
                <w:rFonts w:hint="eastAsia" w:asciiTheme="minorEastAsia" w:hAnsiTheme="minorEastAsia" w:cstheme="minorEastAsia"/>
                <w:b/>
                <w:bCs/>
                <w:sz w:val="21"/>
                <w:szCs w:val="24"/>
                <w:vertAlign w:val="baseline"/>
                <w:lang w:val="en-US" w:eastAsia="zh-CN"/>
              </w:rPr>
              <w:t>课程内容</w:t>
            </w:r>
          </w:p>
        </w:tc>
        <w:tc>
          <w:tcPr>
            <w:tcW w:w="4154" w:type="dxa"/>
            <w:vMerge w:val="restart"/>
            <w:vAlign w:val="center"/>
          </w:tcPr>
          <w:p w14:paraId="41F1591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b/>
                <w:bCs/>
                <w:sz w:val="21"/>
                <w:szCs w:val="24"/>
                <w:vertAlign w:val="baseline"/>
                <w:lang w:val="en-US" w:eastAsia="zh-CN"/>
              </w:rPr>
            </w:pPr>
            <w:r>
              <w:rPr>
                <w:rFonts w:hint="eastAsia" w:asciiTheme="minorEastAsia" w:hAnsiTheme="minorEastAsia" w:cstheme="minorEastAsia"/>
                <w:b/>
                <w:bCs/>
                <w:sz w:val="21"/>
                <w:szCs w:val="24"/>
                <w:vertAlign w:val="baseline"/>
                <w:lang w:val="en-US" w:eastAsia="zh-CN"/>
              </w:rPr>
              <w:t>教学要求</w:t>
            </w:r>
          </w:p>
        </w:tc>
        <w:tc>
          <w:tcPr>
            <w:tcW w:w="1486" w:type="dxa"/>
            <w:gridSpan w:val="2"/>
            <w:vAlign w:val="center"/>
          </w:tcPr>
          <w:p w14:paraId="3CB001E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r>
              <w:rPr>
                <w:rFonts w:hint="eastAsia" w:asciiTheme="minorEastAsia" w:hAnsiTheme="minorEastAsia" w:cstheme="minorEastAsia"/>
                <w:b/>
                <w:bCs/>
                <w:sz w:val="21"/>
                <w:szCs w:val="24"/>
                <w:vertAlign w:val="baseline"/>
                <w:lang w:val="en-US" w:eastAsia="zh-CN"/>
              </w:rPr>
              <w:t>参考学时</w:t>
            </w:r>
          </w:p>
        </w:tc>
      </w:tr>
      <w:tr w14:paraId="79B4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vMerge w:val="continue"/>
            <w:tcBorders/>
            <w:vAlign w:val="center"/>
          </w:tcPr>
          <w:p w14:paraId="53DDD68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p>
        </w:tc>
        <w:tc>
          <w:tcPr>
            <w:tcW w:w="2019" w:type="dxa"/>
            <w:vMerge w:val="continue"/>
            <w:tcBorders/>
            <w:vAlign w:val="center"/>
          </w:tcPr>
          <w:p w14:paraId="22213A6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p>
        </w:tc>
        <w:tc>
          <w:tcPr>
            <w:tcW w:w="4154" w:type="dxa"/>
            <w:vMerge w:val="continue"/>
            <w:tcBorders/>
            <w:vAlign w:val="center"/>
          </w:tcPr>
          <w:p w14:paraId="2FF4A0F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p>
        </w:tc>
        <w:tc>
          <w:tcPr>
            <w:tcW w:w="738" w:type="dxa"/>
            <w:vAlign w:val="center"/>
          </w:tcPr>
          <w:p w14:paraId="01CD1A3E">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lang w:val="en-US" w:eastAsia="zh-CN"/>
              </w:rPr>
            </w:pPr>
            <w:r>
              <w:rPr>
                <w:rFonts w:hint="eastAsia" w:asciiTheme="minorEastAsia" w:hAnsiTheme="minorEastAsia" w:cstheme="minorEastAsia"/>
                <w:b/>
                <w:bCs/>
                <w:sz w:val="21"/>
                <w:szCs w:val="24"/>
                <w:vertAlign w:val="baseline"/>
                <w:lang w:val="en-US" w:eastAsia="zh-CN"/>
              </w:rPr>
              <w:t>线上</w:t>
            </w:r>
          </w:p>
        </w:tc>
        <w:tc>
          <w:tcPr>
            <w:tcW w:w="748" w:type="dxa"/>
            <w:vAlign w:val="center"/>
          </w:tcPr>
          <w:p w14:paraId="10A5143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b/>
                <w:bCs/>
                <w:sz w:val="21"/>
                <w:szCs w:val="24"/>
                <w:vertAlign w:val="baseline"/>
                <w:lang w:val="en-US"/>
              </w:rPr>
            </w:pPr>
            <w:r>
              <w:rPr>
                <w:rFonts w:hint="eastAsia" w:asciiTheme="minorEastAsia" w:hAnsiTheme="minorEastAsia" w:cstheme="minorEastAsia"/>
                <w:b/>
                <w:bCs/>
                <w:sz w:val="21"/>
                <w:szCs w:val="24"/>
                <w:vertAlign w:val="baseline"/>
                <w:lang w:val="en-US" w:eastAsia="zh-CN"/>
              </w:rPr>
              <w:t>线下</w:t>
            </w:r>
          </w:p>
        </w:tc>
      </w:tr>
      <w:tr w14:paraId="3625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42C0EB4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1</w:t>
            </w:r>
          </w:p>
        </w:tc>
        <w:tc>
          <w:tcPr>
            <w:tcW w:w="2019" w:type="dxa"/>
          </w:tcPr>
          <w:p w14:paraId="1F40AE3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项目一</w:t>
            </w:r>
          </w:p>
          <w:p w14:paraId="747A222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了解新质生产力，认识现代化产业体系</w:t>
            </w:r>
          </w:p>
        </w:tc>
        <w:tc>
          <w:tcPr>
            <w:tcW w:w="4154" w:type="dxa"/>
          </w:tcPr>
          <w:p w14:paraId="248E1BA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（1）了解新质生产力的基本内涵。</w:t>
            </w:r>
          </w:p>
          <w:p w14:paraId="6508F6F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（2）识别现代化产业体系的基本特征，了解新质生产力对产业结构升级的推动作用。</w:t>
            </w:r>
          </w:p>
          <w:p w14:paraId="2D060C1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w:t>
            </w:r>
            <w:r>
              <w:rPr>
                <w:rFonts w:hint="eastAsia" w:asciiTheme="minorEastAsia" w:hAnsiTheme="minorEastAsia" w:cstheme="minorEastAsia"/>
                <w:sz w:val="21"/>
                <w:szCs w:val="24"/>
                <w:vertAlign w:val="baseline"/>
                <w:lang w:val="en-US" w:eastAsia="zh-CN"/>
              </w:rPr>
              <w:t>3</w:t>
            </w:r>
            <w:r>
              <w:rPr>
                <w:rFonts w:hint="eastAsia" w:asciiTheme="minorEastAsia" w:hAnsiTheme="minorEastAsia" w:eastAsiaTheme="minorEastAsia" w:cstheme="minorEastAsia"/>
                <w:sz w:val="21"/>
                <w:szCs w:val="24"/>
                <w:vertAlign w:val="baseline"/>
              </w:rPr>
              <w:t>）能识别新质生产力。</w:t>
            </w:r>
          </w:p>
          <w:p w14:paraId="2FE9B4B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w:t>
            </w:r>
            <w:r>
              <w:rPr>
                <w:rFonts w:hint="eastAsia" w:asciiTheme="minorEastAsia" w:hAnsiTheme="minorEastAsia" w:cstheme="minorEastAsia"/>
                <w:sz w:val="21"/>
                <w:szCs w:val="24"/>
                <w:vertAlign w:val="baseline"/>
                <w:lang w:val="en-US" w:eastAsia="zh-CN"/>
              </w:rPr>
              <w:t>4</w:t>
            </w:r>
            <w:r>
              <w:rPr>
                <w:rFonts w:hint="eastAsia" w:asciiTheme="minorEastAsia" w:hAnsiTheme="minorEastAsia" w:eastAsiaTheme="minorEastAsia" w:cstheme="minorEastAsia"/>
                <w:sz w:val="21"/>
                <w:szCs w:val="24"/>
                <w:vertAlign w:val="baseline"/>
              </w:rPr>
              <w:t>）能认识到战略性新兴产业在现代化产业体系中的地位。</w:t>
            </w:r>
          </w:p>
          <w:p w14:paraId="34BFF50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w:t>
            </w:r>
            <w:r>
              <w:rPr>
                <w:rFonts w:hint="eastAsia" w:asciiTheme="minorEastAsia" w:hAnsiTheme="minorEastAsia" w:cstheme="minorEastAsia"/>
                <w:sz w:val="21"/>
                <w:szCs w:val="24"/>
                <w:vertAlign w:val="baseline"/>
                <w:lang w:val="en-US" w:eastAsia="zh-CN"/>
              </w:rPr>
              <w:t>5</w:t>
            </w:r>
            <w:r>
              <w:rPr>
                <w:rFonts w:hint="eastAsia" w:asciiTheme="minorEastAsia" w:hAnsiTheme="minorEastAsia" w:eastAsiaTheme="minorEastAsia" w:cstheme="minorEastAsia"/>
                <w:sz w:val="21"/>
                <w:szCs w:val="24"/>
                <w:vertAlign w:val="baseline"/>
              </w:rPr>
              <w:t>）树立坚定不移走绿色发展之路的理念。</w:t>
            </w:r>
          </w:p>
          <w:p w14:paraId="2C8A85FE">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w:t>
            </w:r>
            <w:r>
              <w:rPr>
                <w:rFonts w:hint="eastAsia" w:asciiTheme="minorEastAsia" w:hAnsiTheme="minorEastAsia" w:cstheme="minorEastAsia"/>
                <w:sz w:val="21"/>
                <w:szCs w:val="24"/>
                <w:vertAlign w:val="baseline"/>
                <w:lang w:val="en-US" w:eastAsia="zh-CN"/>
              </w:rPr>
              <w:t>6</w:t>
            </w:r>
            <w:r>
              <w:rPr>
                <w:rFonts w:hint="eastAsia" w:asciiTheme="minorEastAsia" w:hAnsiTheme="minorEastAsia" w:eastAsiaTheme="minorEastAsia" w:cstheme="minorEastAsia"/>
                <w:sz w:val="21"/>
                <w:szCs w:val="24"/>
                <w:vertAlign w:val="baseline"/>
              </w:rPr>
              <w:t>）服务国家发展战略需求，敢于“无中生有”“有中生新”，激发创新活力。</w:t>
            </w:r>
          </w:p>
        </w:tc>
        <w:tc>
          <w:tcPr>
            <w:tcW w:w="738" w:type="dxa"/>
          </w:tcPr>
          <w:p w14:paraId="35A35E6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p>
        </w:tc>
        <w:tc>
          <w:tcPr>
            <w:tcW w:w="748" w:type="dxa"/>
          </w:tcPr>
          <w:p w14:paraId="34B2FE7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1403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4561BE1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2</w:t>
            </w:r>
          </w:p>
        </w:tc>
        <w:tc>
          <w:tcPr>
            <w:tcW w:w="2019" w:type="dxa"/>
          </w:tcPr>
          <w:p w14:paraId="080BA63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项目二</w:t>
            </w:r>
          </w:p>
          <w:p w14:paraId="1522265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激发创新意识，塑造创新思维</w:t>
            </w:r>
          </w:p>
        </w:tc>
        <w:tc>
          <w:tcPr>
            <w:tcW w:w="4154" w:type="dxa"/>
          </w:tcPr>
          <w:p w14:paraId="08FDD60E">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3F598FF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c>
          <w:tcPr>
            <w:tcW w:w="748" w:type="dxa"/>
          </w:tcPr>
          <w:p w14:paraId="41D54C4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5A45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04EC414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3</w:t>
            </w:r>
          </w:p>
        </w:tc>
        <w:tc>
          <w:tcPr>
            <w:tcW w:w="2019" w:type="dxa"/>
          </w:tcPr>
          <w:p w14:paraId="20A5AF5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项目三</w:t>
            </w:r>
          </w:p>
          <w:p w14:paraId="1FF7AA4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学习创新技法，提高创新能力</w:t>
            </w:r>
          </w:p>
        </w:tc>
        <w:tc>
          <w:tcPr>
            <w:tcW w:w="4154" w:type="dxa"/>
          </w:tcPr>
          <w:p w14:paraId="76D0D90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62F9F89B">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c>
          <w:tcPr>
            <w:tcW w:w="748" w:type="dxa"/>
          </w:tcPr>
          <w:p w14:paraId="3E39523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7826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2598DD3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4</w:t>
            </w:r>
          </w:p>
        </w:tc>
        <w:tc>
          <w:tcPr>
            <w:tcW w:w="2019" w:type="dxa"/>
          </w:tcPr>
          <w:p w14:paraId="1048F27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项目四</w:t>
            </w:r>
          </w:p>
          <w:p w14:paraId="6D0F9DA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践行创业精神，进行创业自我审视</w:t>
            </w:r>
          </w:p>
        </w:tc>
        <w:tc>
          <w:tcPr>
            <w:tcW w:w="4154" w:type="dxa"/>
          </w:tcPr>
          <w:p w14:paraId="03A2376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0399658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p>
        </w:tc>
        <w:tc>
          <w:tcPr>
            <w:tcW w:w="748" w:type="dxa"/>
          </w:tcPr>
          <w:p w14:paraId="3836493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1A99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00D1CF6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5</w:t>
            </w:r>
          </w:p>
        </w:tc>
        <w:tc>
          <w:tcPr>
            <w:tcW w:w="2019" w:type="dxa"/>
          </w:tcPr>
          <w:p w14:paraId="15A8B46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项目五</w:t>
            </w:r>
          </w:p>
          <w:p w14:paraId="14FEC29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评估创业环境，获取创业资源</w:t>
            </w:r>
          </w:p>
        </w:tc>
        <w:tc>
          <w:tcPr>
            <w:tcW w:w="4154" w:type="dxa"/>
          </w:tcPr>
          <w:p w14:paraId="3D5B431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360EAA3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1</w:t>
            </w:r>
          </w:p>
        </w:tc>
        <w:tc>
          <w:tcPr>
            <w:tcW w:w="748" w:type="dxa"/>
          </w:tcPr>
          <w:p w14:paraId="6FDB566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5442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0AB7100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6</w:t>
            </w:r>
          </w:p>
        </w:tc>
        <w:tc>
          <w:tcPr>
            <w:tcW w:w="2019" w:type="dxa"/>
          </w:tcPr>
          <w:p w14:paraId="0C43C1E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项目六</w:t>
            </w:r>
          </w:p>
          <w:p w14:paraId="36102C8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增强创业能力，打造创业团队</w:t>
            </w:r>
          </w:p>
        </w:tc>
        <w:tc>
          <w:tcPr>
            <w:tcW w:w="4154" w:type="dxa"/>
          </w:tcPr>
          <w:p w14:paraId="1FC14DB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03C0941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1</w:t>
            </w:r>
          </w:p>
        </w:tc>
        <w:tc>
          <w:tcPr>
            <w:tcW w:w="748" w:type="dxa"/>
          </w:tcPr>
          <w:p w14:paraId="7DACAF2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699B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0700621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7</w:t>
            </w:r>
          </w:p>
        </w:tc>
        <w:tc>
          <w:tcPr>
            <w:tcW w:w="2019" w:type="dxa"/>
          </w:tcPr>
          <w:p w14:paraId="51E7D3C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项目七</w:t>
            </w:r>
          </w:p>
          <w:p w14:paraId="268D822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发掘创业机会，管理创业风险</w:t>
            </w:r>
          </w:p>
        </w:tc>
        <w:tc>
          <w:tcPr>
            <w:tcW w:w="4154" w:type="dxa"/>
          </w:tcPr>
          <w:p w14:paraId="6B29D5E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3EB5B83A">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c>
          <w:tcPr>
            <w:tcW w:w="748" w:type="dxa"/>
          </w:tcPr>
          <w:p w14:paraId="66B723E5">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4A43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2A0CA9D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8</w:t>
            </w:r>
          </w:p>
        </w:tc>
        <w:tc>
          <w:tcPr>
            <w:tcW w:w="2019" w:type="dxa"/>
          </w:tcPr>
          <w:p w14:paraId="5249743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项目八</w:t>
            </w:r>
          </w:p>
          <w:p w14:paraId="7CD2188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了解商业模式，撰写创业计划书</w:t>
            </w:r>
          </w:p>
        </w:tc>
        <w:tc>
          <w:tcPr>
            <w:tcW w:w="4154" w:type="dxa"/>
          </w:tcPr>
          <w:p w14:paraId="0C40C37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24B3EF65">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1</w:t>
            </w:r>
          </w:p>
        </w:tc>
        <w:tc>
          <w:tcPr>
            <w:tcW w:w="748" w:type="dxa"/>
          </w:tcPr>
          <w:p w14:paraId="2E8038F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4E03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5CCFE2C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9</w:t>
            </w:r>
          </w:p>
        </w:tc>
        <w:tc>
          <w:tcPr>
            <w:tcW w:w="2019" w:type="dxa"/>
          </w:tcPr>
          <w:p w14:paraId="4F42F5B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项目九</w:t>
            </w:r>
          </w:p>
          <w:p w14:paraId="0847BE1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树立路演信心，进行项目路演</w:t>
            </w:r>
          </w:p>
        </w:tc>
        <w:tc>
          <w:tcPr>
            <w:tcW w:w="4154" w:type="dxa"/>
          </w:tcPr>
          <w:p w14:paraId="002CEE2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72D13D4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p>
        </w:tc>
        <w:tc>
          <w:tcPr>
            <w:tcW w:w="748" w:type="dxa"/>
          </w:tcPr>
          <w:p w14:paraId="083A9D7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06AE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63" w:type="dxa"/>
          </w:tcPr>
          <w:p w14:paraId="1D3744F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10</w:t>
            </w:r>
          </w:p>
        </w:tc>
        <w:tc>
          <w:tcPr>
            <w:tcW w:w="2019" w:type="dxa"/>
          </w:tcPr>
          <w:p w14:paraId="61EEF4E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项目十</w:t>
            </w:r>
          </w:p>
          <w:p w14:paraId="3D8D850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组建创业企业，精进企业管理技能</w:t>
            </w:r>
          </w:p>
        </w:tc>
        <w:tc>
          <w:tcPr>
            <w:tcW w:w="4154" w:type="dxa"/>
          </w:tcPr>
          <w:p w14:paraId="10C830D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p>
        </w:tc>
        <w:tc>
          <w:tcPr>
            <w:tcW w:w="738" w:type="dxa"/>
          </w:tcPr>
          <w:p w14:paraId="369ED03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1</w:t>
            </w:r>
          </w:p>
        </w:tc>
        <w:tc>
          <w:tcPr>
            <w:tcW w:w="748" w:type="dxa"/>
          </w:tcPr>
          <w:p w14:paraId="6C63114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4"/>
                <w:szCs w:val="32"/>
                <w:vertAlign w:val="baseline"/>
                <w:lang w:val="en-US" w:eastAsia="zh-CN"/>
              </w:rPr>
              <w:t>2</w:t>
            </w:r>
          </w:p>
        </w:tc>
      </w:tr>
      <w:tr w14:paraId="185D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036" w:type="dxa"/>
            <w:gridSpan w:val="3"/>
          </w:tcPr>
          <w:p w14:paraId="3F3635D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4"/>
                <w:szCs w:val="32"/>
                <w:vertAlign w:val="baseline"/>
              </w:rPr>
            </w:pPr>
            <w:r>
              <w:rPr>
                <w:rFonts w:hint="eastAsia" w:asciiTheme="minorEastAsia" w:hAnsiTheme="minorEastAsia" w:eastAsiaTheme="minorEastAsia" w:cstheme="minorEastAsia"/>
                <w:sz w:val="21"/>
                <w:szCs w:val="24"/>
                <w:vertAlign w:val="baseline"/>
              </w:rPr>
              <w:t>合计（期末考核2课时）</w:t>
            </w:r>
          </w:p>
        </w:tc>
        <w:tc>
          <w:tcPr>
            <w:tcW w:w="1486" w:type="dxa"/>
            <w:gridSpan w:val="2"/>
          </w:tcPr>
          <w:p w14:paraId="38B521A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sz w:val="24"/>
                <w:szCs w:val="32"/>
                <w:vertAlign w:val="baseline"/>
                <w:lang w:val="en-US" w:eastAsia="zh-CN"/>
              </w:rPr>
            </w:pPr>
            <w:r>
              <w:rPr>
                <w:rFonts w:hint="eastAsia" w:asciiTheme="minorEastAsia" w:hAnsiTheme="minorEastAsia" w:cstheme="minorEastAsia"/>
                <w:sz w:val="21"/>
                <w:szCs w:val="24"/>
                <w:vertAlign w:val="baseline"/>
                <w:lang w:val="en-US" w:eastAsia="zh-CN"/>
              </w:rPr>
              <w:t>32</w:t>
            </w:r>
          </w:p>
        </w:tc>
      </w:tr>
    </w:tbl>
    <w:p w14:paraId="1BE7DD6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rPr>
      </w:pPr>
    </w:p>
    <w:p w14:paraId="20F896BF">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六、考核方式</w:t>
      </w:r>
    </w:p>
    <w:p w14:paraId="5094F1E1">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（一）考核方式</w:t>
      </w:r>
    </w:p>
    <w:p w14:paraId="362B231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本课程考核包括线上和线下考核，线上、线下考核都设计了过程性考核和终结性考核两部分。过程性考核主要包括出勤、课堂表现、作业、团队协作及项目完成成绩，最后汇总成为平时成绩。线上、线下都设计了期末考核，线下期末考核既可以是试卷考试，也可以是创新创业计划书等作品作为考核标准。成绩计算比例如下：</w:t>
      </w:r>
    </w:p>
    <w:p w14:paraId="122A53FA">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线下平时过程性考核成绩（20%）=出勤（5%）+课堂表现（2%）+作业（5%）+团队协作（3%）+项目任务成绩(5%)</w:t>
      </w:r>
    </w:p>
    <w:p w14:paraId="4A9952A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线下成绩（50%）=线下过程性考核成绩（20%）+线下期末考核（30%）</w:t>
      </w:r>
    </w:p>
    <w:p w14:paraId="2071CD3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线上考核=线上视频+每章习题+见面课</w:t>
      </w:r>
    </w:p>
    <w:p w14:paraId="0C7A808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总成绩（100%）=线下总成绩（50%）+线上成绩（50%）</w:t>
      </w:r>
    </w:p>
    <w:p w14:paraId="2B3FCE85">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（二）成绩计分方式及标准</w:t>
      </w:r>
    </w:p>
    <w:p w14:paraId="4BA98CA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总评成绩以优秀、良好、中、及格和不及格，按照五级制打分标准。线上、线下平时成绩及期末考核均以百分制计分。</w:t>
      </w:r>
    </w:p>
    <w:p w14:paraId="296DFCA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优秀（90-100分）：学生融会贯通创新创业基本理论，认真完成日常作业，项目任务书面资料目标明确、思路清晰、可操作性强，出勤率高，师生互动交流主动积极，团队合作意识强，有创新思维。</w:t>
      </w:r>
    </w:p>
    <w:p w14:paraId="0A875D6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良好（80-89分）：学生深入理解创新创业基本理论，认真完成日常作业，项目任务书书面资料目标明确，思路清晰，能理论联系实际，出勤率高，团队合作意识强。</w:t>
      </w:r>
    </w:p>
    <w:p w14:paraId="60BFC0E6">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中（70-79分）：学生基本掌握创新创业基本理论，按时完成日常作业，积极参与团队合作并共同完成项目任务实践，能理论联系实际，按时出勤。</w:t>
      </w:r>
    </w:p>
    <w:p w14:paraId="061E8D7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及格（60-69分）：学生基本了解创新创业基本理论，能完成日常作业，参与项目任务建设，解决方案基本正确，基本遵守学校纪律。</w:t>
      </w:r>
    </w:p>
    <w:p w14:paraId="7D56DB5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不及格（60分以下）：学生不熟悉、不理解创新创业理论，作业或项目任务没有全部完成，解决方法不正确，可操作性差，或有明显抄袭作弊行为。</w:t>
      </w:r>
    </w:p>
    <w:p w14:paraId="1153A6B5">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（三）考核规定</w:t>
      </w:r>
    </w:p>
    <w:p w14:paraId="61F58213">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1、学生应按照规定要求修读课程</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完成全部教学内容并参加课程考核，成绩达标后方可取得学分。</w:t>
      </w:r>
    </w:p>
    <w:p w14:paraId="0E7BF76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2、学生线上学习30天(含)内未报</w:t>
      </w:r>
      <w:r>
        <w:rPr>
          <w:rFonts w:hint="eastAsia" w:asciiTheme="minorEastAsia" w:hAnsiTheme="minorEastAsia" w:cstheme="minorEastAsia"/>
          <w:sz w:val="24"/>
          <w:szCs w:val="32"/>
          <w:lang w:val="en-US" w:eastAsia="zh-CN"/>
        </w:rPr>
        <w:t>名</w:t>
      </w:r>
      <w:r>
        <w:rPr>
          <w:rFonts w:hint="eastAsia" w:asciiTheme="minorEastAsia" w:hAnsiTheme="minorEastAsia" w:eastAsiaTheme="minorEastAsia" w:cstheme="minorEastAsia"/>
          <w:sz w:val="24"/>
          <w:szCs w:val="32"/>
        </w:rPr>
        <w:t>或学习进度为0的</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或线下集中学习参与不足3次的</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该门课程考核成绩记为“0”分</w:t>
      </w:r>
      <w:r>
        <w:rPr>
          <w:rFonts w:hint="eastAsia" w:asciiTheme="minorEastAsia" w:hAnsiTheme="minorEastAsia" w:cstheme="minorEastAsia"/>
          <w:sz w:val="24"/>
          <w:szCs w:val="32"/>
          <w:lang w:eastAsia="zh-CN"/>
        </w:rPr>
        <w:t>，</w:t>
      </w:r>
      <w:r>
        <w:rPr>
          <w:rFonts w:hint="eastAsia" w:asciiTheme="minorEastAsia" w:hAnsiTheme="minorEastAsia" w:eastAsiaTheme="minorEastAsia" w:cstheme="minorEastAsia"/>
          <w:sz w:val="24"/>
          <w:szCs w:val="32"/>
        </w:rPr>
        <w:t>不能取得相应学分。</w:t>
      </w:r>
    </w:p>
    <w:p w14:paraId="73D571FA">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七、实施建议</w:t>
      </w:r>
    </w:p>
    <w:p w14:paraId="59BFF0F1">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（一）教材选用与编写</w:t>
      </w:r>
    </w:p>
    <w:p w14:paraId="699D0E72">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1、优先选用国家十四五规划教材，优先选用高等教育出版社出版的教学用书，也可根据教学需要采用其他出版社出版的优秀教材和自编教材。</w:t>
      </w:r>
    </w:p>
    <w:p w14:paraId="42D27719">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2、教材应充分适应社会发展需要，以大学生创新创业基本理论知识为依据，适应学生创新创业学习需求，具有独立新颖完整的知识体系，适合作为大学生创新创业指导性用书。</w:t>
      </w:r>
    </w:p>
    <w:p w14:paraId="001738B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教材内容简洁实用，语言通俗易懂，案例生动有趣，既有典型性又有时代特点；各单元设计突出知识的基础性、连贯性、技能的实用性，同时鼓励任课教师打破内容层次，大胆设计教学模块，采用多种教学方法，提高教学质量。</w:t>
      </w:r>
    </w:p>
    <w:p w14:paraId="7DE2E393">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4、为了适应</w:t>
      </w:r>
      <w:r>
        <w:rPr>
          <w:rFonts w:hint="eastAsia" w:asciiTheme="minorEastAsia" w:hAnsiTheme="minorEastAsia" w:cstheme="minorEastAsia"/>
          <w:sz w:val="24"/>
          <w:szCs w:val="32"/>
          <w:lang w:val="en-US" w:eastAsia="zh-CN"/>
        </w:rPr>
        <w:t>新时代大</w:t>
      </w:r>
      <w:r>
        <w:rPr>
          <w:rFonts w:hint="eastAsia" w:asciiTheme="minorEastAsia" w:hAnsiTheme="minorEastAsia" w:eastAsiaTheme="minorEastAsia" w:cstheme="minorEastAsia"/>
          <w:sz w:val="24"/>
          <w:szCs w:val="32"/>
        </w:rPr>
        <w:t>学生学习特点，教材中</w:t>
      </w:r>
      <w:r>
        <w:rPr>
          <w:rFonts w:hint="eastAsia" w:asciiTheme="minorEastAsia" w:hAnsiTheme="minorEastAsia" w:cstheme="minorEastAsia"/>
          <w:sz w:val="24"/>
          <w:szCs w:val="32"/>
          <w:lang w:val="en-US" w:eastAsia="zh-CN"/>
        </w:rPr>
        <w:t>应</w:t>
      </w:r>
      <w:r>
        <w:rPr>
          <w:rFonts w:hint="eastAsia" w:asciiTheme="minorEastAsia" w:hAnsiTheme="minorEastAsia" w:eastAsiaTheme="minorEastAsia" w:cstheme="minorEastAsia"/>
          <w:sz w:val="24"/>
          <w:szCs w:val="32"/>
        </w:rPr>
        <w:t>注重实践内容的可操作性的作业设计，强调在知识中提炼要点，在操作中掌握和应用理论知识；实践内容由易进难，层层递进，可选择余地大，适合不同学生实践。</w:t>
      </w:r>
    </w:p>
    <w:p w14:paraId="028EE369">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（二）教学建议</w:t>
      </w:r>
    </w:p>
    <w:p w14:paraId="7B52BC0A">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1、在教学过程中，要做好线上线下教学内容的衔接与相互融合；</w:t>
      </w:r>
    </w:p>
    <w:p w14:paraId="27B0F3A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2、在教学过程中，要应用多媒体、投影、沙盘等教学资源辅助教学，帮助学生熟悉工作场景。</w:t>
      </w:r>
    </w:p>
    <w:p w14:paraId="0F4F7DFE">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3、在教学过程中，要重视创新创业领域的新政策、新理念、新方法的发展与更新，同时为学生提供创新创业能力提高空间，努力培养学生参与社会实践的创新精神和创业能力。</w:t>
      </w:r>
    </w:p>
    <w:p w14:paraId="69465CC4">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（三）课程资源的开发与利用</w:t>
      </w:r>
    </w:p>
    <w:p w14:paraId="5128738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1、开辟线上教育教学新领域。充分利用学习通、腾讯会议、钉钉、“智慧职教”线上教学手段，打造跨时空、跨地域、跨学校的丰富多彩的网络教学资源体系。</w:t>
      </w:r>
    </w:p>
    <w:p w14:paraId="6A9A6AFD">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2、利用多媒体教学软件对学生进行知识点讲授、创新创业模拟训练、案例分析及成功典型案例赏析等。</w:t>
      </w:r>
    </w:p>
    <w:p w14:paraId="2A05339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3、充分发挥团队教学优势，建设学院大学生创新创业指导教师教学团队，建设教学资源库，包括电子教案、特色实训项目、主题活动录像、线上共享精品课程等，积极与同类学院进行交流，扩大学院知名度。</w:t>
      </w:r>
    </w:p>
    <w:p w14:paraId="0C217410">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4、充分利用社会资源，鼓励学生组成团队走出学校，走入社会，主动观察不同职业场景，了解不同行业职业人行为规范，培养独立思考、努力拼搏的职业素养和职业道德，提高创业能力。</w:t>
      </w:r>
    </w:p>
    <w:p w14:paraId="4FDDDA7F">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八、教学评价</w:t>
      </w:r>
    </w:p>
    <w:p w14:paraId="1BA904E7">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（一）评价方式</w:t>
      </w:r>
    </w:p>
    <w:p w14:paraId="5D7DAE88">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学习过程评价：根据学生在线上、线下每个学习情境或者学习任务中，出勤、纪律、学习积极性、实践训练、小组协作学习、任务完成情况及提交作业等所反映出的学生整体学习态度、学习能力和学习效果等平时学习情况，考评学生对学习内容的掌握程度，分析教学中存在的问题，适时调整教学方法与手段。</w:t>
      </w:r>
    </w:p>
    <w:p w14:paraId="58D80D3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期末综合评价：在学期末进行综合知识和技能综合评价，既考核学生理论知识的掌握程度，又考察创新创业实践技能的获得及掌握程度，线下期末考核的方式打破“一卷定终身”的弊端，可以采用开卷笔试、现场提问、提交作品等多种方式进行。</w:t>
      </w:r>
    </w:p>
    <w:p w14:paraId="0048155E">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rPr>
          <w:rFonts w:hint="eastAsia" w:asciiTheme="minorEastAsia" w:hAnsiTheme="minorEastAsia" w:eastAsiaTheme="minorEastAsia" w:cstheme="minorEastAsia"/>
          <w:sz w:val="24"/>
          <w:szCs w:val="32"/>
        </w:rPr>
      </w:pPr>
      <w:r>
        <w:rPr>
          <w:rFonts w:hint="eastAsia" w:ascii="楷体" w:hAnsi="楷体" w:eastAsia="楷体" w:cs="楷体"/>
          <w:b/>
          <w:bCs/>
          <w:sz w:val="28"/>
          <w:szCs w:val="36"/>
        </w:rPr>
        <w:t>（二）评价标准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913"/>
        <w:gridCol w:w="1915"/>
        <w:gridCol w:w="4694"/>
      </w:tblGrid>
      <w:tr w14:paraId="13E6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tcPr>
          <w:p w14:paraId="3D05983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r>
              <w:rPr>
                <w:rFonts w:hint="eastAsia" w:asciiTheme="minorEastAsia" w:hAnsiTheme="minorEastAsia" w:eastAsiaTheme="minorEastAsia" w:cstheme="minorEastAsia"/>
                <w:b/>
                <w:bCs/>
                <w:sz w:val="21"/>
                <w:szCs w:val="24"/>
                <w:vertAlign w:val="baseline"/>
              </w:rPr>
              <w:t>成绩构成及比例</w:t>
            </w:r>
          </w:p>
        </w:tc>
        <w:tc>
          <w:tcPr>
            <w:tcW w:w="1915" w:type="dxa"/>
          </w:tcPr>
          <w:p w14:paraId="495DE15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r>
              <w:rPr>
                <w:rFonts w:hint="eastAsia" w:asciiTheme="minorEastAsia" w:hAnsiTheme="minorEastAsia" w:eastAsiaTheme="minorEastAsia" w:cstheme="minorEastAsia"/>
                <w:b/>
                <w:bCs/>
                <w:sz w:val="21"/>
                <w:szCs w:val="24"/>
                <w:vertAlign w:val="baseline"/>
              </w:rPr>
              <w:t>所占总成绩比例</w:t>
            </w:r>
          </w:p>
        </w:tc>
        <w:tc>
          <w:tcPr>
            <w:tcW w:w="4694" w:type="dxa"/>
          </w:tcPr>
          <w:p w14:paraId="1C9E2B9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b/>
                <w:bCs/>
                <w:sz w:val="21"/>
                <w:szCs w:val="24"/>
                <w:vertAlign w:val="baseline"/>
              </w:rPr>
            </w:pPr>
            <w:r>
              <w:rPr>
                <w:rFonts w:hint="eastAsia" w:asciiTheme="minorEastAsia" w:hAnsiTheme="minorEastAsia" w:eastAsiaTheme="minorEastAsia" w:cstheme="minorEastAsia"/>
                <w:b/>
                <w:bCs/>
                <w:sz w:val="21"/>
                <w:szCs w:val="24"/>
                <w:vertAlign w:val="baseline"/>
              </w:rPr>
              <w:t>评分标准</w:t>
            </w:r>
          </w:p>
        </w:tc>
      </w:tr>
      <w:tr w14:paraId="337B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Align w:val="center"/>
          </w:tcPr>
          <w:p w14:paraId="2A570E2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线上考核50%</w:t>
            </w:r>
          </w:p>
        </w:tc>
        <w:tc>
          <w:tcPr>
            <w:tcW w:w="1915" w:type="dxa"/>
            <w:vAlign w:val="center"/>
          </w:tcPr>
          <w:p w14:paraId="486B652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50%</w:t>
            </w:r>
          </w:p>
        </w:tc>
        <w:tc>
          <w:tcPr>
            <w:tcW w:w="4694" w:type="dxa"/>
          </w:tcPr>
          <w:p w14:paraId="05EA98D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合理安排学习时间，及时跟进线上视频、见面课及习题的学习进度，完成线上综合考核。</w:t>
            </w:r>
          </w:p>
        </w:tc>
      </w:tr>
      <w:tr w14:paraId="2BE7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Merge w:val="restart"/>
            <w:vAlign w:val="center"/>
          </w:tcPr>
          <w:p w14:paraId="2F51B9F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线下考核50%</w:t>
            </w:r>
          </w:p>
        </w:tc>
        <w:tc>
          <w:tcPr>
            <w:tcW w:w="1915" w:type="dxa"/>
            <w:vAlign w:val="center"/>
          </w:tcPr>
          <w:p w14:paraId="22B1C0C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3%</w:t>
            </w:r>
          </w:p>
        </w:tc>
        <w:tc>
          <w:tcPr>
            <w:tcW w:w="4694" w:type="dxa"/>
          </w:tcPr>
          <w:p w14:paraId="436524E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团队协作、合作意识等。</w:t>
            </w:r>
          </w:p>
        </w:tc>
      </w:tr>
      <w:tr w14:paraId="48CF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Merge w:val="continue"/>
            <w:tcBorders/>
            <w:vAlign w:val="center"/>
          </w:tcPr>
          <w:p w14:paraId="30C02CE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p>
        </w:tc>
        <w:tc>
          <w:tcPr>
            <w:tcW w:w="1915" w:type="dxa"/>
            <w:vAlign w:val="center"/>
          </w:tcPr>
          <w:p w14:paraId="328BCB4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2%</w:t>
            </w:r>
          </w:p>
        </w:tc>
        <w:tc>
          <w:tcPr>
            <w:tcW w:w="4694" w:type="dxa"/>
          </w:tcPr>
          <w:p w14:paraId="5EFAE3B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课堂表现。</w:t>
            </w:r>
          </w:p>
        </w:tc>
      </w:tr>
      <w:tr w14:paraId="1A55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Merge w:val="continue"/>
            <w:tcBorders/>
            <w:vAlign w:val="center"/>
          </w:tcPr>
          <w:p w14:paraId="2B4E45F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p>
        </w:tc>
        <w:tc>
          <w:tcPr>
            <w:tcW w:w="1915" w:type="dxa"/>
            <w:vAlign w:val="center"/>
          </w:tcPr>
          <w:p w14:paraId="4D89392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5%</w:t>
            </w:r>
          </w:p>
        </w:tc>
        <w:tc>
          <w:tcPr>
            <w:tcW w:w="4694" w:type="dxa"/>
          </w:tcPr>
          <w:p w14:paraId="59B7FC9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线下辅导课出勤情况。</w:t>
            </w:r>
          </w:p>
        </w:tc>
      </w:tr>
      <w:tr w14:paraId="58E0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Merge w:val="continue"/>
            <w:tcBorders/>
            <w:vAlign w:val="center"/>
          </w:tcPr>
          <w:p w14:paraId="0D63E65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p>
        </w:tc>
        <w:tc>
          <w:tcPr>
            <w:tcW w:w="1915" w:type="dxa"/>
            <w:vAlign w:val="center"/>
          </w:tcPr>
          <w:p w14:paraId="7F9F709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cstheme="minorEastAsia"/>
                <w:sz w:val="21"/>
                <w:szCs w:val="24"/>
                <w:vertAlign w:val="baseline"/>
                <w:lang w:val="en-US" w:eastAsia="zh-CN"/>
              </w:rPr>
              <w:t>5%</w:t>
            </w:r>
          </w:p>
        </w:tc>
        <w:tc>
          <w:tcPr>
            <w:tcW w:w="4694" w:type="dxa"/>
          </w:tcPr>
          <w:p w14:paraId="0BC987C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作业。</w:t>
            </w:r>
          </w:p>
        </w:tc>
      </w:tr>
      <w:tr w14:paraId="2CB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Merge w:val="continue"/>
            <w:tcBorders/>
            <w:vAlign w:val="center"/>
          </w:tcPr>
          <w:p w14:paraId="02B7838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p>
        </w:tc>
        <w:tc>
          <w:tcPr>
            <w:tcW w:w="1915" w:type="dxa"/>
            <w:vAlign w:val="center"/>
          </w:tcPr>
          <w:p w14:paraId="73704A0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cstheme="minorEastAsia"/>
                <w:sz w:val="21"/>
                <w:szCs w:val="24"/>
                <w:vertAlign w:val="baseline"/>
                <w:lang w:val="en-US" w:eastAsia="zh-CN"/>
              </w:rPr>
              <w:t>5%</w:t>
            </w:r>
          </w:p>
        </w:tc>
        <w:tc>
          <w:tcPr>
            <w:tcW w:w="4694" w:type="dxa"/>
          </w:tcPr>
          <w:p w14:paraId="6DF40AE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项目任务完成情况（包括线下技能实训准备、回答问题、参与程度等）。</w:t>
            </w:r>
          </w:p>
        </w:tc>
      </w:tr>
      <w:tr w14:paraId="058E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3" w:type="dxa"/>
            <w:vMerge w:val="continue"/>
            <w:tcBorders/>
            <w:vAlign w:val="center"/>
          </w:tcPr>
          <w:p w14:paraId="30430C3E">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Theme="minorEastAsia" w:hAnsiTheme="minorEastAsia" w:eastAsiaTheme="minorEastAsia" w:cstheme="minorEastAsia"/>
                <w:sz w:val="21"/>
                <w:szCs w:val="24"/>
                <w:vertAlign w:val="baseline"/>
              </w:rPr>
            </w:pPr>
          </w:p>
        </w:tc>
        <w:tc>
          <w:tcPr>
            <w:tcW w:w="1915" w:type="dxa"/>
            <w:vAlign w:val="center"/>
          </w:tcPr>
          <w:p w14:paraId="656ADAD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inorEastAsia" w:hAnsiTheme="minorEastAsia" w:eastAsia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30%</w:t>
            </w:r>
          </w:p>
        </w:tc>
        <w:tc>
          <w:tcPr>
            <w:tcW w:w="4694" w:type="dxa"/>
          </w:tcPr>
          <w:p w14:paraId="3DE1876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1"/>
                <w:szCs w:val="24"/>
                <w:vertAlign w:val="baseline"/>
              </w:rPr>
            </w:pPr>
            <w:r>
              <w:rPr>
                <w:rFonts w:hint="eastAsia" w:asciiTheme="minorEastAsia" w:hAnsiTheme="minorEastAsia" w:eastAsiaTheme="minorEastAsia" w:cstheme="minorEastAsia"/>
                <w:sz w:val="21"/>
                <w:szCs w:val="24"/>
                <w:vertAlign w:val="baseline"/>
              </w:rPr>
              <w:t>线下期末测验成绩。（线下考试可以采用开卷或实操考核、现场提问、提交作品等多种方式进行，如果采用试卷考试，考核内容比例：基础知识占40分，知识综合运用占30分，模拟实训占30分）</w:t>
            </w:r>
          </w:p>
        </w:tc>
      </w:tr>
    </w:tbl>
    <w:p w14:paraId="667EFC6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sz w:val="24"/>
          <w:szCs w:val="32"/>
        </w:rPr>
      </w:pPr>
    </w:p>
    <w:p w14:paraId="7E296622">
      <w:pPr>
        <w:keepNext w:val="0"/>
        <w:keepLines w:val="0"/>
        <w:pageBreakBefore w:val="0"/>
        <w:widowControl w:val="0"/>
        <w:kinsoku/>
        <w:wordWrap/>
        <w:overflowPunct/>
        <w:topLinePunct w:val="0"/>
        <w:autoSpaceDE/>
        <w:autoSpaceDN/>
        <w:bidi w:val="0"/>
        <w:adjustRightInd/>
        <w:snapToGrid/>
        <w:spacing w:line="288" w:lineRule="auto"/>
        <w:ind w:firstLine="560" w:firstLineChars="200"/>
        <w:textAlignment w:val="auto"/>
        <w:rPr>
          <w:rFonts w:hint="eastAsia" w:asciiTheme="minorEastAsia" w:hAnsiTheme="minorEastAsia" w:eastAsiaTheme="minorEastAsia" w:cstheme="minorEastAsia"/>
          <w:sz w:val="24"/>
          <w:szCs w:val="32"/>
        </w:rPr>
      </w:pPr>
      <w:r>
        <w:rPr>
          <w:rFonts w:hint="eastAsia" w:ascii="黑体" w:hAnsi="黑体" w:eastAsia="黑体" w:cs="黑体"/>
          <w:b w:val="0"/>
          <w:bCs w:val="0"/>
          <w:sz w:val="28"/>
          <w:szCs w:val="36"/>
        </w:rPr>
        <w:t>九、其它说明</w:t>
      </w:r>
    </w:p>
    <w:p w14:paraId="2C99736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（一）制定课程标准依据的是“知识够用、技能训练”为主的</w:t>
      </w:r>
      <w:bookmarkStart w:id="0" w:name="_GoBack"/>
      <w:bookmarkEnd w:id="0"/>
      <w:r>
        <w:rPr>
          <w:rFonts w:hint="eastAsia" w:asciiTheme="minorEastAsia" w:hAnsiTheme="minorEastAsia" w:eastAsiaTheme="minorEastAsia" w:cstheme="minorEastAsia"/>
          <w:sz w:val="24"/>
          <w:szCs w:val="32"/>
        </w:rPr>
        <w:t>教育理念，坚持“立德树人”教育目标，重视学生创新创业技能的培养；</w:t>
      </w:r>
    </w:p>
    <w:p w14:paraId="2301D33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（二）本课程标准适用于全院各专业学生，在执行过程中，可以根据教学需要作出适当的调整与修订。</w:t>
      </w:r>
    </w:p>
    <w:p w14:paraId="47D520A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p>
    <w:p w14:paraId="1A7B7376">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p>
    <w:p w14:paraId="102C592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p>
    <w:p w14:paraId="2072853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p>
    <w:p w14:paraId="28263EE8">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方正粗雅宋_GBK">
    <w:altName w:val="宋体"/>
    <w:panose1 w:val="00000000000000000000"/>
    <w:charset w:val="00"/>
    <w:family w:val="auto"/>
    <w:pitch w:val="default"/>
    <w:sig w:usb0="00000000" w:usb1="00000000" w:usb2="00000000" w:usb3="00000000" w:csb0="00000000" w:csb1="00000000"/>
  </w:font>
  <w:font w:name="方正兰亭纤黑_GBK">
    <w:altName w:val="黑体"/>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4B37AC5"/>
    <w:rsid w:val="05BD363F"/>
    <w:rsid w:val="066813E4"/>
    <w:rsid w:val="09F762E9"/>
    <w:rsid w:val="0BB966C9"/>
    <w:rsid w:val="0E280F74"/>
    <w:rsid w:val="0E8F16AA"/>
    <w:rsid w:val="0F567F73"/>
    <w:rsid w:val="0F5E0B4C"/>
    <w:rsid w:val="10B6542B"/>
    <w:rsid w:val="12922E1C"/>
    <w:rsid w:val="13DE5984"/>
    <w:rsid w:val="15520C26"/>
    <w:rsid w:val="1A74749E"/>
    <w:rsid w:val="1AFF58CC"/>
    <w:rsid w:val="1FE06119"/>
    <w:rsid w:val="1FFB2280"/>
    <w:rsid w:val="223374FA"/>
    <w:rsid w:val="237D0A88"/>
    <w:rsid w:val="23EE4E6E"/>
    <w:rsid w:val="248675C0"/>
    <w:rsid w:val="263B1B4F"/>
    <w:rsid w:val="271C4D62"/>
    <w:rsid w:val="2A546463"/>
    <w:rsid w:val="2B3E504C"/>
    <w:rsid w:val="2BF42CC3"/>
    <w:rsid w:val="30210D7A"/>
    <w:rsid w:val="30AC56DE"/>
    <w:rsid w:val="311C3F8A"/>
    <w:rsid w:val="32954329"/>
    <w:rsid w:val="35CE3202"/>
    <w:rsid w:val="3DFA73C6"/>
    <w:rsid w:val="413C7C81"/>
    <w:rsid w:val="444B410C"/>
    <w:rsid w:val="4999777B"/>
    <w:rsid w:val="49DC6A05"/>
    <w:rsid w:val="4B3950EF"/>
    <w:rsid w:val="50C03CB8"/>
    <w:rsid w:val="52456AD1"/>
    <w:rsid w:val="53B66877"/>
    <w:rsid w:val="5502607A"/>
    <w:rsid w:val="56A066B2"/>
    <w:rsid w:val="61D94219"/>
    <w:rsid w:val="62071A66"/>
    <w:rsid w:val="62975624"/>
    <w:rsid w:val="6373711D"/>
    <w:rsid w:val="65C1546A"/>
    <w:rsid w:val="67F16434"/>
    <w:rsid w:val="68E475E6"/>
    <w:rsid w:val="6A2C245C"/>
    <w:rsid w:val="6A2D75F5"/>
    <w:rsid w:val="6A795B0F"/>
    <w:rsid w:val="6C1F0F0D"/>
    <w:rsid w:val="6ECE2606"/>
    <w:rsid w:val="6FDB0E1E"/>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Words>
  <Characters>13</Characters>
  <Lines>0</Lines>
  <Paragraphs>0</Paragraphs>
  <TotalTime>48</TotalTime>
  <ScaleCrop>false</ScaleCrop>
  <LinksUpToDate>false</LinksUpToDate>
  <CharactersWithSpaces>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2025-09-29T03:15:44Z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