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907"/>
        <w:gridCol w:w="727"/>
        <w:gridCol w:w="2135"/>
      </w:tblGrid>
      <w:tr w14:paraId="3B363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20FA7FC2">
            <w:pPr>
              <w:spacing w:line="460" w:lineRule="exact"/>
              <w:rPr>
                <w:rFonts w:hint="eastAsia" w:ascii="宋体" w:hAnsi="宋体"/>
                <w:b/>
                <w:sz w:val="24"/>
              </w:rPr>
            </w:pPr>
            <w:r>
              <w:rPr>
                <w:rFonts w:hint="eastAsia" w:ascii="宋体" w:hAnsi="宋体"/>
                <w:b/>
                <w:sz w:val="24"/>
              </w:rPr>
              <w:t>教学内容</w:t>
            </w:r>
          </w:p>
        </w:tc>
        <w:tc>
          <w:tcPr>
            <w:tcW w:w="4907" w:type="dxa"/>
            <w:vAlign w:val="center"/>
          </w:tcPr>
          <w:p w14:paraId="10B37B04">
            <w:pPr>
              <w:jc w:val="center"/>
              <w:outlineLvl w:val="1"/>
              <w:rPr>
                <w:rFonts w:hint="eastAsia" w:ascii="宋体" w:hAnsi="宋体"/>
                <w:b/>
                <w:sz w:val="24"/>
              </w:rPr>
            </w:pPr>
            <w:r>
              <w:rPr>
                <w:rFonts w:ascii="宋体" w:hAnsi="宋体" w:cs="宋体"/>
                <w:b/>
                <w:bCs/>
                <w:spacing w:val="8"/>
                <w:szCs w:val="21"/>
              </w:rPr>
              <w:t>所得税会计</w:t>
            </w:r>
            <w:r>
              <w:rPr>
                <w:rFonts w:hint="eastAsia"/>
                <w:b/>
                <w:bCs/>
                <w:lang w:val="en-US" w:eastAsia="zh-CN"/>
              </w:rPr>
              <w:t>概述</w:t>
            </w:r>
          </w:p>
        </w:tc>
        <w:tc>
          <w:tcPr>
            <w:tcW w:w="727" w:type="dxa"/>
            <w:vAlign w:val="center"/>
          </w:tcPr>
          <w:p w14:paraId="4673779E">
            <w:pPr>
              <w:spacing w:line="460" w:lineRule="exact"/>
              <w:rPr>
                <w:rFonts w:hint="eastAsia" w:ascii="宋体" w:hAnsi="宋体"/>
                <w:b/>
                <w:sz w:val="24"/>
              </w:rPr>
            </w:pPr>
            <w:r>
              <w:rPr>
                <w:rFonts w:hint="eastAsia" w:ascii="宋体" w:hAnsi="宋体"/>
                <w:b/>
                <w:sz w:val="24"/>
              </w:rPr>
              <w:t>课时</w:t>
            </w:r>
          </w:p>
        </w:tc>
        <w:tc>
          <w:tcPr>
            <w:tcW w:w="2135" w:type="dxa"/>
            <w:vAlign w:val="center"/>
          </w:tcPr>
          <w:p w14:paraId="56C0BD97">
            <w:pPr>
              <w:spacing w:line="460" w:lineRule="exact"/>
              <w:ind w:firstLine="482" w:firstLineChars="200"/>
              <w:rPr>
                <w:rFonts w:hint="eastAsia" w:ascii="宋体" w:hAnsi="宋体"/>
                <w:b/>
                <w:sz w:val="24"/>
              </w:rPr>
            </w:pPr>
            <w:r>
              <w:rPr>
                <w:rFonts w:hint="eastAsia" w:ascii="宋体" w:hAnsi="宋体"/>
                <w:b/>
                <w:color w:val="000000" w:themeColor="text1"/>
                <w:sz w:val="24"/>
                <w14:textFill>
                  <w14:solidFill>
                    <w14:schemeClr w14:val="tx1"/>
                  </w14:solidFill>
                </w14:textFill>
              </w:rPr>
              <w:t>2学时</w:t>
            </w:r>
          </w:p>
        </w:tc>
      </w:tr>
      <w:tr w14:paraId="109EC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2A09728D">
            <w:pPr>
              <w:spacing w:line="460" w:lineRule="exact"/>
              <w:rPr>
                <w:rFonts w:hint="eastAsia" w:ascii="宋体" w:hAnsi="宋体"/>
                <w:b/>
                <w:sz w:val="24"/>
              </w:rPr>
            </w:pPr>
            <w:r>
              <w:rPr>
                <w:rFonts w:hint="eastAsia" w:ascii="宋体" w:hAnsi="宋体"/>
                <w:b/>
                <w:sz w:val="24"/>
              </w:rPr>
              <w:t>教学目标</w:t>
            </w:r>
          </w:p>
          <w:p w14:paraId="477C4238">
            <w:pPr>
              <w:spacing w:line="460" w:lineRule="exact"/>
              <w:rPr>
                <w:rFonts w:hint="eastAsia" w:ascii="宋体" w:hAnsi="宋体"/>
                <w:b/>
                <w:sz w:val="24"/>
              </w:rPr>
            </w:pPr>
            <w:r>
              <w:rPr>
                <w:rFonts w:hint="eastAsia" w:ascii="宋体" w:hAnsi="宋体"/>
                <w:b/>
                <w:color w:val="FF0000"/>
                <w:szCs w:val="21"/>
              </w:rPr>
              <w:t>对应课标</w:t>
            </w:r>
          </w:p>
        </w:tc>
        <w:tc>
          <w:tcPr>
            <w:tcW w:w="7769" w:type="dxa"/>
            <w:gridSpan w:val="3"/>
            <w:vAlign w:val="center"/>
          </w:tcPr>
          <w:p w14:paraId="050544A0">
            <w:pPr>
              <w:rPr>
                <w:rFonts w:hint="eastAsia" w:ascii="宋体" w:hAnsi="宋体"/>
                <w:b/>
                <w:szCs w:val="21"/>
              </w:rPr>
            </w:pPr>
            <w:r>
              <w:rPr>
                <w:rFonts w:hint="eastAsia" w:ascii="宋体" w:hAnsi="宋体"/>
                <w:b/>
                <w:szCs w:val="21"/>
              </w:rPr>
              <w:t>一、知识目标：</w:t>
            </w:r>
          </w:p>
          <w:p w14:paraId="23A4BB28">
            <w:pPr>
              <w:jc w:val="left"/>
              <w:outlineLvl w:val="9"/>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1.熟悉</w:t>
            </w:r>
            <w:r>
              <w:rPr>
                <w:rFonts w:hint="eastAsia" w:ascii="宋体" w:hAnsi="宋体" w:cs="宋体"/>
                <w:b w:val="0"/>
                <w:bCs w:val="0"/>
                <w:spacing w:val="-10"/>
                <w:szCs w:val="21"/>
              </w:rPr>
              <w:t>资产负债表债务法</w:t>
            </w:r>
            <w:r>
              <w:rPr>
                <w:rFonts w:hint="eastAsia" w:ascii="宋体" w:hAnsi="宋体" w:cs="宋体"/>
                <w:b w:val="0"/>
                <w:bCs w:val="0"/>
                <w:spacing w:val="-10"/>
                <w:szCs w:val="21"/>
                <w:lang w:val="en-US" w:eastAsia="zh-CN"/>
              </w:rPr>
              <w:t>的概念；</w:t>
            </w:r>
          </w:p>
          <w:p w14:paraId="0791C6A4">
            <w:pPr>
              <w:jc w:val="left"/>
              <w:outlineLvl w:val="9"/>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2.熟悉所得税会计的一般程序；</w:t>
            </w:r>
          </w:p>
          <w:p w14:paraId="4D6B69EF">
            <w:pPr>
              <w:jc w:val="left"/>
              <w:outlineLvl w:val="9"/>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3.理解资产、负债的计税基础；</w:t>
            </w:r>
          </w:p>
          <w:p w14:paraId="29650E2E">
            <w:pPr>
              <w:rPr>
                <w:rFonts w:hint="eastAsia" w:ascii="宋体" w:hAnsi="宋体"/>
                <w:b/>
                <w:szCs w:val="21"/>
              </w:rPr>
            </w:pPr>
            <w:r>
              <w:rPr>
                <w:rFonts w:hint="eastAsia" w:ascii="宋体" w:hAnsi="宋体"/>
                <w:b/>
                <w:szCs w:val="21"/>
              </w:rPr>
              <w:t>二、能力目标：</w:t>
            </w:r>
          </w:p>
          <w:p w14:paraId="0DD5DB63">
            <w:pPr>
              <w:rPr>
                <w:rFonts w:hint="eastAsia" w:ascii="宋体" w:hAnsi="宋体" w:cs="宋体"/>
                <w:b w:val="0"/>
                <w:bCs w:val="0"/>
                <w:spacing w:val="-10"/>
                <w:szCs w:val="21"/>
                <w:lang w:val="en-US" w:eastAsia="zh-CN"/>
              </w:rPr>
            </w:pPr>
            <w:r>
              <w:rPr>
                <w:rFonts w:hint="eastAsia" w:ascii="宋体" w:hAnsi="宋体"/>
                <w:szCs w:val="21"/>
              </w:rPr>
              <w:t>1.能够</w:t>
            </w:r>
            <w:r>
              <w:rPr>
                <w:rFonts w:hint="eastAsia" w:ascii="宋体" w:hAnsi="宋体"/>
                <w:szCs w:val="21"/>
                <w:lang w:val="en-US" w:eastAsia="zh-CN"/>
              </w:rPr>
              <w:t>掌握</w:t>
            </w:r>
            <w:r>
              <w:rPr>
                <w:rFonts w:hint="eastAsia" w:ascii="宋体" w:hAnsi="宋体" w:cs="宋体"/>
                <w:b w:val="0"/>
                <w:bCs w:val="0"/>
                <w:spacing w:val="-10"/>
                <w:szCs w:val="21"/>
                <w:lang w:val="en-US" w:eastAsia="zh-CN"/>
              </w:rPr>
              <w:t>所得税会计的一般程序；</w:t>
            </w:r>
          </w:p>
          <w:p w14:paraId="198ED95F">
            <w:pPr>
              <w:jc w:val="left"/>
              <w:outlineLvl w:val="9"/>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2.</w:t>
            </w:r>
            <w:r>
              <w:rPr>
                <w:rFonts w:hint="eastAsia" w:ascii="宋体" w:hAnsi="宋体"/>
                <w:szCs w:val="21"/>
              </w:rPr>
              <w:t>能够</w:t>
            </w:r>
            <w:r>
              <w:rPr>
                <w:rFonts w:hint="eastAsia" w:ascii="宋体" w:hAnsi="宋体" w:cs="宋体"/>
                <w:b w:val="0"/>
                <w:bCs w:val="0"/>
                <w:spacing w:val="-10"/>
                <w:szCs w:val="21"/>
                <w:lang w:val="en-US" w:eastAsia="zh-CN"/>
              </w:rPr>
              <w:t>理解资产、负债的计税基础；</w:t>
            </w:r>
          </w:p>
          <w:p w14:paraId="37682242">
            <w:pPr>
              <w:rPr>
                <w:rFonts w:hint="eastAsia" w:ascii="宋体" w:hAnsi="宋体"/>
                <w:b/>
                <w:szCs w:val="21"/>
              </w:rPr>
            </w:pPr>
            <w:r>
              <w:rPr>
                <w:rFonts w:hint="eastAsia" w:ascii="宋体" w:hAnsi="宋体"/>
                <w:b/>
                <w:szCs w:val="21"/>
              </w:rPr>
              <w:t>三、素质（思政）目标：</w:t>
            </w:r>
          </w:p>
          <w:p w14:paraId="1CB22CC9">
            <w:pPr>
              <w:jc w:val="left"/>
              <w:rPr>
                <w:rFonts w:hint="default" w:ascii="宋体" w:hAnsi="宋体"/>
                <w:b w:val="0"/>
                <w:bCs w:val="0"/>
                <w:szCs w:val="21"/>
                <w:lang w:val="en-US" w:eastAsia="zh-CN"/>
              </w:rPr>
            </w:pPr>
            <w:r>
              <w:rPr>
                <w:rFonts w:hint="default" w:ascii="宋体" w:hAnsi="宋体"/>
                <w:b w:val="0"/>
                <w:bCs w:val="0"/>
                <w:szCs w:val="21"/>
                <w:lang w:val="en-US" w:eastAsia="zh-CN"/>
              </w:rPr>
              <w:t>1.培养</w:t>
            </w:r>
            <w:r>
              <w:rPr>
                <w:rFonts w:hint="eastAsia" w:ascii="宋体" w:hAnsi="宋体"/>
                <w:b w:val="0"/>
                <w:bCs w:val="0"/>
                <w:szCs w:val="21"/>
                <w:lang w:val="en-US" w:eastAsia="zh-CN"/>
              </w:rPr>
              <w:t>感恩情怀；</w:t>
            </w:r>
          </w:p>
          <w:p w14:paraId="52CD12DC">
            <w:pPr>
              <w:jc w:val="left"/>
              <w:rPr>
                <w:rFonts w:hint="default" w:ascii="宋体" w:hAnsi="宋体"/>
                <w:b w:val="0"/>
                <w:bCs w:val="0"/>
                <w:szCs w:val="21"/>
                <w:lang w:val="en-US" w:eastAsia="zh-CN"/>
              </w:rPr>
            </w:pPr>
            <w:r>
              <w:rPr>
                <w:rFonts w:hint="default" w:ascii="宋体" w:hAnsi="宋体"/>
                <w:b w:val="0"/>
                <w:bCs w:val="0"/>
                <w:szCs w:val="21"/>
                <w:lang w:val="en-US" w:eastAsia="zh-CN"/>
              </w:rPr>
              <w:t>2.培养谨慎工作、细心认真的职业素养</w:t>
            </w:r>
            <w:r>
              <w:rPr>
                <w:rFonts w:hint="eastAsia" w:ascii="宋体" w:hAnsi="宋体"/>
                <w:b w:val="0"/>
                <w:bCs w:val="0"/>
                <w:szCs w:val="21"/>
                <w:lang w:val="en-US" w:eastAsia="zh-CN"/>
              </w:rPr>
              <w:t>；</w:t>
            </w:r>
          </w:p>
          <w:p w14:paraId="0EDBFCD9">
            <w:pPr>
              <w:jc w:val="left"/>
              <w:rPr>
                <w:rFonts w:hint="eastAsia" w:ascii="宋体" w:hAnsi="宋体"/>
                <w:b/>
                <w:sz w:val="24"/>
              </w:rPr>
            </w:pPr>
            <w:r>
              <w:rPr>
                <w:rFonts w:hint="eastAsia" w:ascii="宋体" w:hAnsi="宋体"/>
                <w:b w:val="0"/>
                <w:bCs w:val="0"/>
                <w:szCs w:val="21"/>
                <w:lang w:val="en-US" w:eastAsia="zh-CN"/>
              </w:rPr>
              <w:t>3</w:t>
            </w:r>
            <w:r>
              <w:rPr>
                <w:rFonts w:hint="default" w:ascii="宋体" w:hAnsi="宋体"/>
                <w:b w:val="0"/>
                <w:bCs w:val="0"/>
                <w:szCs w:val="21"/>
                <w:lang w:val="en-US" w:eastAsia="zh-CN"/>
              </w:rPr>
              <w:t>.树立</w:t>
            </w:r>
            <w:r>
              <w:rPr>
                <w:rFonts w:hint="eastAsia" w:ascii="宋体" w:hAnsi="宋体"/>
                <w:b w:val="0"/>
                <w:bCs w:val="0"/>
                <w:szCs w:val="21"/>
                <w:lang w:val="en-US" w:eastAsia="zh-CN"/>
              </w:rPr>
              <w:t>社会责任感。</w:t>
            </w:r>
          </w:p>
        </w:tc>
      </w:tr>
      <w:tr w14:paraId="3663C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1206" w:type="dxa"/>
            <w:vAlign w:val="center"/>
          </w:tcPr>
          <w:p w14:paraId="36792A71">
            <w:pPr>
              <w:spacing w:line="460" w:lineRule="exact"/>
              <w:rPr>
                <w:rFonts w:hint="eastAsia" w:ascii="宋体" w:hAnsi="宋体"/>
                <w:b/>
                <w:sz w:val="24"/>
              </w:rPr>
            </w:pPr>
            <w:r>
              <w:rPr>
                <w:rFonts w:hint="eastAsia" w:ascii="宋体" w:hAnsi="宋体"/>
                <w:b/>
                <w:sz w:val="24"/>
              </w:rPr>
              <w:t>教学方法</w:t>
            </w:r>
          </w:p>
          <w:p w14:paraId="615E13A8">
            <w:pPr>
              <w:spacing w:line="460" w:lineRule="exact"/>
              <w:rPr>
                <w:rFonts w:hint="eastAsia" w:ascii="宋体" w:hAnsi="宋体"/>
                <w:sz w:val="18"/>
                <w:szCs w:val="18"/>
              </w:rPr>
            </w:pPr>
            <w:r>
              <w:rPr>
                <w:rFonts w:hint="eastAsia" w:ascii="宋体" w:hAnsi="宋体"/>
                <w:b/>
                <w:sz w:val="24"/>
              </w:rPr>
              <w:t>与手段</w:t>
            </w:r>
          </w:p>
        </w:tc>
        <w:tc>
          <w:tcPr>
            <w:tcW w:w="7769" w:type="dxa"/>
            <w:gridSpan w:val="3"/>
            <w:vAlign w:val="center"/>
          </w:tcPr>
          <w:p w14:paraId="7124EF5E">
            <w:pPr>
              <w:numPr>
                <w:ilvl w:val="0"/>
                <w:numId w:val="1"/>
              </w:numPr>
              <w:spacing w:line="360" w:lineRule="exact"/>
              <w:ind w:firstLine="210"/>
            </w:pPr>
            <w:r>
              <w:rPr>
                <w:rFonts w:hint="eastAsia" w:ascii="宋体" w:hAnsi="宋体"/>
                <w:b/>
                <w:szCs w:val="21"/>
              </w:rPr>
              <w:t>教学方法：</w:t>
            </w:r>
            <w:r>
              <w:rPr>
                <w:rFonts w:hint="eastAsia" w:ascii="仿宋_GB2312" w:eastAsia="仿宋_GB2312" w:cs="仿宋_GB2312"/>
              </w:rPr>
              <w:sym w:font="Wingdings 2" w:char="0052"/>
            </w:r>
            <w:r>
              <w:rPr>
                <w:rFonts w:hint="eastAsia"/>
              </w:rPr>
              <w:t>讲授法；</w:t>
            </w:r>
            <w:r>
              <w:rPr>
                <w:rFonts w:hint="eastAsia" w:ascii="仿宋_GB2312" w:eastAsia="仿宋_GB2312" w:cs="仿宋_GB2312"/>
              </w:rPr>
              <w:sym w:font="Wingdings 2" w:char="0052"/>
            </w:r>
            <w:r>
              <w:rPr>
                <w:rFonts w:hint="eastAsia"/>
              </w:rPr>
              <w:t>讨论法；</w:t>
            </w:r>
            <w:r>
              <w:rPr>
                <w:rFonts w:hint="eastAsia" w:ascii="仿宋_GB2312" w:eastAsia="仿宋_GB2312" w:cs="仿宋_GB2312"/>
              </w:rPr>
              <w:sym w:font="Wingdings 2" w:char="0052"/>
            </w:r>
            <w:r>
              <w:rPr>
                <w:rFonts w:hint="eastAsia"/>
              </w:rPr>
              <w:t>演示法；</w:t>
            </w:r>
            <w:r>
              <w:rPr>
                <w:rFonts w:hint="eastAsia"/>
              </w:rPr>
              <w:sym w:font="Wingdings 2" w:char="00A3"/>
            </w:r>
            <w:r>
              <w:rPr>
                <w:rFonts w:hint="eastAsia"/>
              </w:rPr>
              <w:t>参观法；</w:t>
            </w:r>
          </w:p>
          <w:p w14:paraId="30FFD319">
            <w:pPr>
              <w:spacing w:line="360" w:lineRule="exact"/>
              <w:ind w:firstLine="1470" w:firstLineChars="700"/>
              <w:rPr>
                <w:rFonts w:hint="eastAsia" w:ascii="宋体" w:hAnsi="宋体"/>
                <w:b/>
                <w:szCs w:val="21"/>
              </w:rPr>
            </w:pPr>
            <w:r>
              <w:rPr>
                <w:rFonts w:hint="eastAsia" w:ascii="仿宋_GB2312" w:eastAsia="仿宋_GB2312" w:cs="仿宋_GB2312"/>
              </w:rPr>
              <w:sym w:font="Wingdings 2" w:char="0052"/>
            </w:r>
            <w:r>
              <w:rPr>
                <w:rFonts w:hint="eastAsia"/>
              </w:rPr>
              <w:t>练习法；</w:t>
            </w:r>
            <w:r>
              <w:rPr>
                <w:rFonts w:hint="eastAsia"/>
              </w:rPr>
              <w:sym w:font="Wingdings 2" w:char="00A3"/>
            </w:r>
            <w:r>
              <w:rPr>
                <w:rFonts w:hint="eastAsia"/>
              </w:rPr>
              <w:t>实验法；其他：</w:t>
            </w:r>
          </w:p>
          <w:p w14:paraId="615239ED">
            <w:pPr>
              <w:numPr>
                <w:ilvl w:val="0"/>
                <w:numId w:val="1"/>
              </w:numPr>
              <w:spacing w:line="360" w:lineRule="auto"/>
              <w:ind w:firstLine="210"/>
              <w:rPr>
                <w:rFonts w:hint="eastAsia" w:ascii="宋体" w:hAnsi="宋体"/>
                <w:b/>
                <w:szCs w:val="21"/>
              </w:rPr>
            </w:pPr>
            <w:r>
              <w:rPr>
                <w:rFonts w:hint="eastAsia" w:ascii="宋体" w:hAnsi="宋体"/>
                <w:b/>
                <w:szCs w:val="21"/>
              </w:rPr>
              <w:t>教学手段：</w:t>
            </w:r>
          </w:p>
          <w:p w14:paraId="2A851CC1">
            <w:pPr>
              <w:numPr>
                <w:ilvl w:val="0"/>
                <w:numId w:val="2"/>
              </w:numPr>
              <w:spacing w:line="360" w:lineRule="exact"/>
              <w:ind w:firstLine="210"/>
              <w:rPr>
                <w:rFonts w:hint="eastAsia" w:ascii="宋体" w:hAnsi="宋体"/>
                <w:b/>
                <w:szCs w:val="21"/>
              </w:rPr>
            </w:pPr>
            <w:r>
              <w:rPr>
                <w:rFonts w:hint="eastAsia"/>
              </w:rPr>
              <w:t>传统教学手段：</w:t>
            </w:r>
            <w:r>
              <w:rPr>
                <w:rFonts w:hint="eastAsia" w:ascii="仿宋_GB2312" w:eastAsia="仿宋_GB2312" w:cs="仿宋_GB2312"/>
              </w:rPr>
              <w:sym w:font="Wingdings 2" w:char="0052"/>
            </w:r>
            <w:r>
              <w:rPr>
                <w:rFonts w:hint="eastAsia"/>
              </w:rPr>
              <w:t>口头语言；</w:t>
            </w:r>
            <w:r>
              <w:rPr>
                <w:rFonts w:hint="eastAsia" w:ascii="仿宋_GB2312" w:eastAsia="仿宋_GB2312" w:cs="仿宋_GB2312"/>
              </w:rPr>
              <w:sym w:font="Wingdings 2" w:char="0052"/>
            </w:r>
            <w:r>
              <w:rPr>
                <w:rFonts w:hint="eastAsia"/>
              </w:rPr>
              <w:t>纸质教材；</w:t>
            </w:r>
            <w:r>
              <w:rPr>
                <w:rFonts w:hint="eastAsia" w:ascii="仿宋_GB2312" w:eastAsia="仿宋_GB2312" w:cs="仿宋_GB2312"/>
              </w:rPr>
              <w:sym w:font="Wingdings 2" w:char="0052"/>
            </w:r>
            <w:r>
              <w:rPr>
                <w:rFonts w:hint="eastAsia"/>
              </w:rPr>
              <w:t>粉笔黑板；</w:t>
            </w:r>
            <w:r>
              <w:rPr>
                <w:rFonts w:hint="eastAsia"/>
              </w:rPr>
              <w:sym w:font="Wingdings 2" w:char="00A3"/>
            </w:r>
            <w:r>
              <w:rPr>
                <w:rFonts w:hint="eastAsia"/>
              </w:rPr>
              <w:t>实物展台；其他：</w:t>
            </w:r>
          </w:p>
          <w:p w14:paraId="4FACE1EB">
            <w:pPr>
              <w:numPr>
                <w:ilvl w:val="0"/>
                <w:numId w:val="2"/>
              </w:numPr>
              <w:spacing w:line="360" w:lineRule="exact"/>
              <w:ind w:firstLine="210"/>
              <w:rPr>
                <w:rFonts w:hint="eastAsia" w:ascii="宋体" w:hAnsi="宋体"/>
                <w:b/>
                <w:szCs w:val="21"/>
              </w:rPr>
            </w:pPr>
            <w:r>
              <w:rPr>
                <w:rFonts w:hint="eastAsia"/>
              </w:rPr>
              <w:t>现代教学手段：</w:t>
            </w:r>
            <w:r>
              <w:rPr>
                <w:rFonts w:hint="eastAsia"/>
              </w:rPr>
              <w:sym w:font="Wingdings 2" w:char="00A3"/>
            </w:r>
            <w:r>
              <w:rPr>
                <w:rFonts w:hint="eastAsia"/>
              </w:rPr>
              <w:t>视听设备；</w:t>
            </w:r>
            <w:r>
              <w:rPr>
                <w:rFonts w:hint="eastAsia" w:ascii="仿宋_GB2312" w:eastAsia="仿宋_GB2312" w:cs="仿宋_GB2312"/>
              </w:rPr>
              <w:sym w:font="Wingdings 2" w:char="0052"/>
            </w:r>
            <w:r>
              <w:rPr>
                <w:rFonts w:hint="eastAsia"/>
              </w:rPr>
              <w:t>电子资源；</w:t>
            </w:r>
            <w:r>
              <w:rPr>
                <w:rFonts w:hint="eastAsia" w:ascii="仿宋_GB2312" w:eastAsia="仿宋_GB2312" w:cs="仿宋_GB2312"/>
              </w:rPr>
              <w:sym w:font="Wingdings 2" w:char="0052"/>
            </w:r>
            <w:r>
              <w:rPr>
                <w:rFonts w:hint="eastAsia"/>
              </w:rPr>
              <w:t>网络技术；</w:t>
            </w:r>
            <w:r>
              <w:rPr>
                <w:rFonts w:hint="eastAsia"/>
              </w:rPr>
              <w:sym w:font="Wingdings 2" w:char="00A3"/>
            </w:r>
            <w:r>
              <w:rPr>
                <w:rFonts w:hint="eastAsia"/>
              </w:rPr>
              <w:t>实训平台；其他：</w:t>
            </w:r>
          </w:p>
        </w:tc>
      </w:tr>
      <w:tr w14:paraId="04833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06" w:type="dxa"/>
            <w:vAlign w:val="center"/>
          </w:tcPr>
          <w:p w14:paraId="2D6F24DA">
            <w:pPr>
              <w:spacing w:line="460" w:lineRule="exact"/>
              <w:rPr>
                <w:rFonts w:hint="eastAsia" w:ascii="宋体" w:hAnsi="宋体"/>
                <w:sz w:val="18"/>
                <w:szCs w:val="18"/>
              </w:rPr>
            </w:pPr>
            <w:r>
              <w:rPr>
                <w:rFonts w:hint="eastAsia" w:ascii="宋体" w:hAnsi="宋体"/>
                <w:b/>
                <w:sz w:val="24"/>
              </w:rPr>
              <w:t>教学重点与难点</w:t>
            </w:r>
          </w:p>
        </w:tc>
        <w:tc>
          <w:tcPr>
            <w:tcW w:w="7769" w:type="dxa"/>
            <w:gridSpan w:val="3"/>
            <w:tcBorders>
              <w:bottom w:val="single" w:color="auto" w:sz="4" w:space="0"/>
            </w:tcBorders>
            <w:vAlign w:val="center"/>
          </w:tcPr>
          <w:p w14:paraId="4666E68A">
            <w:pPr>
              <w:rPr>
                <w:rFonts w:hint="eastAsia" w:ascii="宋体" w:hAnsi="宋体"/>
                <w:szCs w:val="21"/>
              </w:rPr>
            </w:pPr>
            <w:r>
              <w:rPr>
                <w:rFonts w:hint="eastAsia" w:ascii="宋体" w:hAnsi="宋体"/>
                <w:b/>
                <w:szCs w:val="21"/>
              </w:rPr>
              <w:t>一、教学重点：</w:t>
            </w:r>
            <w:r>
              <w:rPr>
                <w:rFonts w:hint="eastAsia" w:ascii="宋体" w:hAnsi="宋体" w:cs="宋体"/>
                <w:spacing w:val="-10"/>
                <w:szCs w:val="21"/>
                <w:lang w:val="en-US" w:eastAsia="zh-CN"/>
              </w:rPr>
              <w:t>政府补助的</w:t>
            </w:r>
            <w:r>
              <w:rPr>
                <w:rFonts w:hint="eastAsia" w:ascii="宋体" w:hAnsi="宋体" w:cs="宋体"/>
                <w:spacing w:val="-10"/>
                <w:szCs w:val="21"/>
              </w:rPr>
              <w:t>分类</w:t>
            </w:r>
          </w:p>
          <w:p w14:paraId="21282F14">
            <w:pPr>
              <w:rPr>
                <w:rFonts w:hint="eastAsia" w:ascii="宋体" w:hAnsi="宋体"/>
                <w:sz w:val="18"/>
                <w:szCs w:val="18"/>
              </w:rPr>
            </w:pPr>
            <w:r>
              <w:rPr>
                <w:rFonts w:hint="eastAsia" w:ascii="宋体" w:hAnsi="宋体"/>
                <w:b/>
                <w:szCs w:val="21"/>
              </w:rPr>
              <w:t>二、教学难点：如何</w:t>
            </w:r>
            <w:r>
              <w:rPr>
                <w:rFonts w:hint="eastAsia" w:ascii="宋体" w:hAnsi="宋体"/>
                <w:szCs w:val="21"/>
              </w:rPr>
              <w:t>对</w:t>
            </w:r>
            <w:r>
              <w:rPr>
                <w:rFonts w:hint="eastAsia" w:ascii="宋体" w:hAnsi="宋体" w:cs="宋体"/>
                <w:spacing w:val="-10"/>
                <w:szCs w:val="21"/>
                <w:lang w:val="en-US" w:eastAsia="zh-CN"/>
              </w:rPr>
              <w:t>政府补助进行</w:t>
            </w:r>
            <w:r>
              <w:rPr>
                <w:rFonts w:hint="eastAsia" w:ascii="宋体" w:hAnsi="宋体" w:cs="宋体"/>
                <w:spacing w:val="-10"/>
                <w:szCs w:val="21"/>
              </w:rPr>
              <w:t>分类</w:t>
            </w:r>
          </w:p>
        </w:tc>
      </w:tr>
      <w:tr w14:paraId="4C83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7" w:hRule="atLeast"/>
          <w:jc w:val="center"/>
        </w:trPr>
        <w:tc>
          <w:tcPr>
            <w:tcW w:w="1206" w:type="dxa"/>
            <w:vAlign w:val="center"/>
          </w:tcPr>
          <w:p w14:paraId="38B84805">
            <w:pPr>
              <w:spacing w:line="460" w:lineRule="exact"/>
              <w:rPr>
                <w:rFonts w:hint="eastAsia" w:ascii="宋体" w:hAnsi="宋体"/>
                <w:sz w:val="18"/>
                <w:szCs w:val="18"/>
              </w:rPr>
            </w:pPr>
            <w:bookmarkStart w:id="0" w:name="_Hlk286300521"/>
            <w:r>
              <w:rPr>
                <w:rFonts w:hint="eastAsia" w:ascii="宋体" w:hAnsi="宋体"/>
                <w:b/>
                <w:sz w:val="24"/>
              </w:rPr>
              <w:t>教学内容与过程</w:t>
            </w:r>
          </w:p>
        </w:tc>
        <w:tc>
          <w:tcPr>
            <w:tcW w:w="7769" w:type="dxa"/>
            <w:gridSpan w:val="3"/>
            <w:vAlign w:val="center"/>
          </w:tcPr>
          <w:p w14:paraId="4A39D398">
            <w:pPr>
              <w:ind w:firstLine="420" w:firstLineChars="200"/>
              <w:jc w:val="left"/>
              <w:rPr>
                <w:rFonts w:hint="eastAsia" w:ascii="宋体" w:hAnsi="宋体" w:eastAsia="宋体" w:cs="Times New Roman"/>
                <w:b/>
                <w:bCs/>
                <w:szCs w:val="21"/>
                <w:lang w:eastAsia="zh-CN"/>
              </w:rPr>
            </w:pPr>
            <w:r>
              <w:rPr>
                <w:rFonts w:hint="eastAsia"/>
                <w:color w:val="FF0000"/>
              </w:rPr>
              <w:t>【课程导入】</w:t>
            </w:r>
            <w:r>
              <w:rPr>
                <w:rFonts w:hint="eastAsia" w:ascii="宋体" w:hAnsi="宋体" w:eastAsia="宋体" w:cs="Times New Roman"/>
                <w:b/>
                <w:bCs/>
                <w:szCs w:val="21"/>
                <w:lang w:eastAsia="zh-CN"/>
              </w:rPr>
              <w:t>税惠助力，创新赋能，布局全球产能</w:t>
            </w:r>
          </w:p>
          <w:p w14:paraId="4451C6D3">
            <w:pPr>
              <w:ind w:firstLine="420" w:firstLineChars="200"/>
              <w:jc w:val="left"/>
              <w:rPr>
                <w:rFonts w:hint="eastAsia" w:ascii="宋体" w:hAnsi="宋体" w:eastAsia="宋体" w:cs="Times New Roman"/>
                <w:szCs w:val="21"/>
                <w:lang w:eastAsia="zh-CN"/>
              </w:rPr>
            </w:pPr>
            <w:r>
              <w:rPr>
                <w:rFonts w:hint="eastAsia" w:ascii="宋体" w:hAnsi="宋体" w:eastAsia="宋体" w:cs="Times New Roman"/>
                <w:szCs w:val="21"/>
                <w:lang w:eastAsia="zh-CN"/>
              </w:rPr>
              <w:t>安徽圣奥化学科技有限公司是一家专注于橡胶防老剂、硫化剂等绿色化工产品研发、生产和销售的民营企业。公司在核心业务的基础上，开发具有防老功能的配方产品，并创新科技发展模式，自主研发新产品，紧跟国际同类先进产品的发展步伐，致力于逐步实现橡胶助剂的进口替代。在满足国内市场需求的同时，不断改进产品工艺，为全球市场提供技术研发支持。</w:t>
            </w:r>
          </w:p>
          <w:p w14:paraId="1A6CA983">
            <w:pPr>
              <w:ind w:firstLine="420" w:firstLineChars="200"/>
              <w:jc w:val="left"/>
              <w:rPr>
                <w:rFonts w:hint="eastAsia" w:ascii="宋体" w:hAnsi="宋体" w:eastAsia="宋体" w:cs="Times New Roman"/>
                <w:szCs w:val="21"/>
                <w:lang w:eastAsia="zh-CN"/>
              </w:rPr>
            </w:pPr>
            <w:r>
              <w:rPr>
                <w:rFonts w:hint="eastAsia" w:ascii="宋体" w:hAnsi="宋体" w:eastAsia="宋体" w:cs="Times New Roman"/>
                <w:szCs w:val="21"/>
                <w:lang w:eastAsia="zh-CN"/>
              </w:rPr>
              <w:t>近年来，公司先后建立了“安徽省企业技术中心”“安徽省橡胶防老化助剂工程技术研究中心”和“安徽圣奥绿色橡胶助剂院士工作站”等科研平台。其主要产品防老剂6PPD及中间体RT培司的核心工艺技术均处于世界领先水平。2018年，圣奥化学参与完成的“取代芳胺系列产品绿色催化合成关键技术与工业应用”项目荣获国家技术发明奖二等奖。2019年6月，公司入选工信部第一批专精特新“小巨人”企业名单。2020年11月16日，公司荣获“2020年国家技术创新示范企业”。</w:t>
            </w:r>
          </w:p>
          <w:p w14:paraId="51E473A4">
            <w:pPr>
              <w:ind w:firstLine="420" w:firstLineChars="200"/>
              <w:jc w:val="left"/>
              <w:rPr>
                <w:rFonts w:hint="eastAsia" w:ascii="宋体" w:hAnsi="宋体" w:eastAsia="宋体" w:cs="Times New Roman"/>
                <w:szCs w:val="21"/>
                <w:lang w:eastAsia="zh-CN"/>
              </w:rPr>
            </w:pPr>
            <w:r>
              <w:rPr>
                <w:rFonts w:hint="eastAsia" w:ascii="宋体" w:hAnsi="宋体" w:eastAsia="宋体" w:cs="Times New Roman"/>
                <w:szCs w:val="21"/>
                <w:lang w:eastAsia="zh-CN"/>
              </w:rPr>
              <w:t>公司财务负责人许建超表示：“‘十三五’期间，公司研发费用加计扣除累计超过3000万元，这些政策红利扩大了公司的利润空间，使企业有更多资金投入研发，为我们在产业链中高端环节的竞争按下了‘快进键’。”</w:t>
            </w:r>
          </w:p>
          <w:p w14:paraId="2515DE9E">
            <w:pPr>
              <w:pStyle w:val="7"/>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ind w:left="0" w:right="0" w:firstLine="300" w:firstLineChars="200"/>
              <w:jc w:val="left"/>
              <w:textAlignment w:val="auto"/>
              <w:rPr>
                <w:rFonts w:hint="default" w:ascii="å¾®è½¯é›…é»‘" w:hAnsi="å¾®è½¯é›…é»‘" w:eastAsia="å¾®è½¯é›…é»‘" w:cs="å¾®è½¯é›…é»‘"/>
                <w:i w:val="0"/>
                <w:iCs w:val="0"/>
                <w:caps w:val="0"/>
                <w:color w:val="333333"/>
                <w:spacing w:val="0"/>
                <w:sz w:val="15"/>
                <w:szCs w:val="15"/>
              </w:rPr>
            </w:pPr>
          </w:p>
          <w:p w14:paraId="2DD05293">
            <w:pPr>
              <w:adjustRightInd w:val="0"/>
              <w:snapToGrid w:val="0"/>
              <w:rPr>
                <w:rFonts w:hint="eastAsia"/>
                <w:b/>
                <w:bCs/>
              </w:rPr>
            </w:pPr>
          </w:p>
          <w:p w14:paraId="19928C86">
            <w:pPr>
              <w:adjustRightInd w:val="0"/>
              <w:snapToGrid w:val="0"/>
              <w:rPr>
                <w:rFonts w:hint="eastAsia"/>
                <w:bCs/>
              </w:rPr>
            </w:pPr>
          </w:p>
          <w:p w14:paraId="7250AC8E">
            <w:pPr>
              <w:adjustRightInd w:val="0"/>
              <w:snapToGrid w:val="0"/>
              <w:spacing w:line="320" w:lineRule="exact"/>
              <w:jc w:val="left"/>
              <w:rPr>
                <w:color w:val="FF0000"/>
              </w:rPr>
            </w:pPr>
            <w:r>
              <w:rPr>
                <w:rFonts w:hint="eastAsia"/>
                <w:color w:val="FF0000"/>
              </w:rPr>
              <w:t>【讲授新课】</w:t>
            </w:r>
          </w:p>
          <w:p w14:paraId="40B94CF4">
            <w:pPr>
              <w:jc w:val="left"/>
              <w:outlineLvl w:val="2"/>
              <w:rPr>
                <w:rFonts w:hint="eastAsia" w:ascii="宋体" w:hAnsi="宋体" w:cs="宋体"/>
                <w:b/>
                <w:bCs/>
                <w:spacing w:val="-10"/>
                <w:szCs w:val="21"/>
              </w:rPr>
            </w:pPr>
            <w:bookmarkStart w:id="1" w:name="_Toc13515"/>
            <w:r>
              <w:rPr>
                <w:rFonts w:hint="eastAsia" w:ascii="宋体" w:hAnsi="宋体" w:cs="宋体"/>
                <w:b/>
                <w:bCs/>
                <w:spacing w:val="-10"/>
                <w:szCs w:val="21"/>
              </w:rPr>
              <w:t>一、企业所得税</w:t>
            </w:r>
            <w:bookmarkEnd w:id="1"/>
          </w:p>
          <w:p w14:paraId="70249084">
            <w:pPr>
              <w:keepNext w:val="0"/>
              <w:keepLines w:val="0"/>
              <w:pageBreakBefore w:val="0"/>
              <w:widowControl w:val="0"/>
              <w:kinsoku/>
              <w:wordWrap/>
              <w:overflowPunct/>
              <w:topLinePunct w:val="0"/>
              <w:autoSpaceDE/>
              <w:autoSpaceDN/>
              <w:bidi w:val="0"/>
              <w:adjustRightInd/>
              <w:snapToGrid/>
              <w:ind w:firstLine="380" w:firstLineChars="200"/>
              <w:jc w:val="left"/>
              <w:textAlignment w:val="auto"/>
              <w:rPr>
                <w:rFonts w:hint="eastAsia" w:ascii="宋体" w:hAnsi="宋体" w:cs="宋体"/>
                <w:spacing w:val="-10"/>
                <w:szCs w:val="21"/>
              </w:rPr>
            </w:pPr>
            <w:r>
              <w:rPr>
                <w:rFonts w:hint="eastAsia" w:ascii="宋体" w:hAnsi="宋体" w:cs="宋体"/>
                <w:spacing w:val="-10"/>
                <w:szCs w:val="21"/>
              </w:rPr>
              <w:t>所得税会计是研究处理会计收益和应税收益差异的会计理论和方法。《企业会计准则第18号——所得税》(以下简称“所得税准则”)采用了资产负债表债务法核算所得税。资产负债表债务法是从资产负债表出发，通过比对资产负债表上列示的资产、负债按照会计准则规定确定的账面价值与按照税法和相关法规(以下简称“税法”)规定确定的计税基础，对于两者之间的差异分别应纳税暂时性差异与可抵扣暂时性差异，确认相关的递延所得税负债与递延所得税资产，并在此基础上确定每一会计期间利润表中的所得税费用。</w:t>
            </w:r>
          </w:p>
          <w:p w14:paraId="640D2176">
            <w:pPr>
              <w:jc w:val="left"/>
              <w:outlineLvl w:val="2"/>
              <w:rPr>
                <w:rFonts w:hint="eastAsia" w:ascii="宋体" w:hAnsi="宋体" w:cs="宋体"/>
                <w:b/>
                <w:bCs/>
                <w:spacing w:val="-10"/>
                <w:szCs w:val="21"/>
              </w:rPr>
            </w:pPr>
            <w:bookmarkStart w:id="2" w:name="_Toc8588"/>
            <w:r>
              <w:rPr>
                <w:rFonts w:hint="eastAsia" w:ascii="宋体" w:hAnsi="宋体" w:cs="宋体"/>
                <w:b/>
                <w:bCs/>
                <w:spacing w:val="-10"/>
                <w:szCs w:val="21"/>
              </w:rPr>
              <w:t>二</w:t>
            </w:r>
            <w:r>
              <w:rPr>
                <w:rFonts w:hint="eastAsia" w:ascii="宋体" w:hAnsi="宋体" w:cs="宋体"/>
                <w:b/>
                <w:bCs/>
                <w:spacing w:val="-10"/>
                <w:szCs w:val="21"/>
                <w:lang w:eastAsia="zh-CN"/>
              </w:rPr>
              <w:t>、</w:t>
            </w:r>
            <w:r>
              <w:rPr>
                <w:rFonts w:hint="eastAsia" w:ascii="宋体" w:hAnsi="宋体" w:cs="宋体"/>
                <w:b/>
                <w:bCs/>
                <w:spacing w:val="-10"/>
                <w:szCs w:val="21"/>
              </w:rPr>
              <w:t>资产负债表法</w:t>
            </w:r>
            <w:bookmarkEnd w:id="2"/>
          </w:p>
          <w:p w14:paraId="50E419CF">
            <w:pPr>
              <w:ind w:firstLine="380" w:firstLineChars="200"/>
              <w:jc w:val="left"/>
              <w:rPr>
                <w:rFonts w:hint="eastAsia" w:ascii="宋体" w:hAnsi="宋体" w:cs="宋体"/>
                <w:spacing w:val="-10"/>
                <w:szCs w:val="21"/>
              </w:rPr>
            </w:pPr>
            <w:r>
              <w:rPr>
                <w:rFonts w:hint="eastAsia" w:ascii="宋体" w:hAnsi="宋体" w:cs="宋体"/>
                <w:spacing w:val="-10"/>
                <w:szCs w:val="21"/>
              </w:rPr>
              <w:t>资产负债表债务法在所得税的会计核算方面遵循了资产、负债的界定。从资产负债角度考虑，资产的账面价值代表的是某项资产在持续持有及最终处置的一定期间内为企业带来未来经济利益的总额，而其计税基础代表的是该期间内按照税法规定就该项资产可以税前扣除的总额。资产的账面价值小于其计税基础的，表明该项资产于未来期间产生的经济利益流入低于按照税法规定允许税前扣除的金额，产生可抵减未来期间应纳税所得额的因素，减少未来期间以所得税税款的方式流出企业的经济利益，应确认为递延所得税资产。反之，一项资产的账面价值大于其计税基础的，两者之间的差额会增加企业于未来期间的应纳税所得额及应交所得税，对企业形成经济利益流出的义务，应确认为递延所得税负债。</w:t>
            </w:r>
          </w:p>
          <w:p w14:paraId="67D8747C">
            <w:pPr>
              <w:ind w:firstLine="380" w:firstLineChars="200"/>
              <w:jc w:val="left"/>
              <w:rPr>
                <w:rFonts w:hint="eastAsia" w:ascii="宋体" w:hAnsi="宋体" w:cs="宋体"/>
                <w:spacing w:val="-10"/>
                <w:szCs w:val="21"/>
              </w:rPr>
            </w:pPr>
            <w:r>
              <w:rPr>
                <w:rFonts w:hint="eastAsia" w:ascii="宋体" w:hAnsi="宋体" w:cs="宋体"/>
                <w:spacing w:val="-10"/>
                <w:szCs w:val="21"/>
              </w:rPr>
              <w:t>资产负债表债务法是基于资产负债表中所列示的资产、负债账面价值和计税基础经济含义的基础上，分析按照会计原则列报的账面价值与税法规定的差异，并就有关差异确定相关所得税影响的会计方法。相较于仅将当期实际应交所得税作为利润表中所得税费用的核算方法，资产负债表债务法除了能够反映企业已经持有的资产、负债及其变动对当期利润的影响外，还能够反映有关资产、负债对未来期间的所得税影响，在所得税核算领域贯彻了资产负债观。</w:t>
            </w:r>
          </w:p>
          <w:p w14:paraId="380C9CFA">
            <w:pPr>
              <w:jc w:val="left"/>
              <w:outlineLvl w:val="2"/>
              <w:rPr>
                <w:rFonts w:hint="eastAsia" w:ascii="宋体" w:hAnsi="宋体" w:cs="宋体"/>
                <w:b/>
                <w:bCs/>
                <w:spacing w:val="-10"/>
                <w:szCs w:val="21"/>
                <w:lang w:val="en-US" w:eastAsia="zh-CN"/>
              </w:rPr>
            </w:pPr>
            <w:bookmarkStart w:id="3" w:name="_Toc19517"/>
            <w:r>
              <w:rPr>
                <w:rFonts w:hint="eastAsia" w:ascii="宋体" w:hAnsi="宋体" w:cs="宋体"/>
                <w:b/>
                <w:bCs/>
                <w:spacing w:val="-10"/>
                <w:szCs w:val="21"/>
                <w:lang w:val="en-US" w:eastAsia="zh-CN"/>
              </w:rPr>
              <w:t>三、所得税会计的一般程序</w:t>
            </w:r>
            <w:bookmarkEnd w:id="3"/>
          </w:p>
          <w:p w14:paraId="0EECD139">
            <w:pPr>
              <w:keepNext w:val="0"/>
              <w:keepLines w:val="0"/>
              <w:pageBreakBefore w:val="0"/>
              <w:widowControl w:val="0"/>
              <w:kinsoku/>
              <w:wordWrap/>
              <w:overflowPunct/>
              <w:topLinePunct w:val="0"/>
              <w:autoSpaceDE/>
              <w:autoSpaceDN/>
              <w:bidi w:val="0"/>
              <w:adjustRightInd/>
              <w:snapToGrid/>
              <w:ind w:firstLine="380" w:firstLineChars="200"/>
              <w:jc w:val="left"/>
              <w:textAlignment w:val="auto"/>
              <w:rPr>
                <w:rFonts w:hint="default" w:ascii="宋体" w:hAnsi="宋体" w:cs="宋体"/>
                <w:spacing w:val="-10"/>
                <w:szCs w:val="21"/>
                <w:lang w:val="en-US" w:eastAsia="zh-CN"/>
              </w:rPr>
            </w:pPr>
            <w:r>
              <w:rPr>
                <w:rFonts w:hint="default" w:ascii="宋体" w:hAnsi="宋体" w:cs="宋体"/>
                <w:spacing w:val="-10"/>
                <w:szCs w:val="21"/>
                <w:lang w:val="en-US" w:eastAsia="zh-CN"/>
              </w:rPr>
              <w:t>在采用资产负债表债务法核算所得税的情况下，企业一般应于每一资产负债表日进行所得税的核算。企业合并等特殊交易或事项发生时，在确认因交易或事项取得的资产、负债时即应同时确认相关的所得税影响。企业进行所得税核算一般应遵循以下程序：</w:t>
            </w:r>
          </w:p>
          <w:p w14:paraId="510F906C">
            <w:pPr>
              <w:ind w:firstLine="380" w:firstLineChars="200"/>
              <w:jc w:val="left"/>
              <w:rPr>
                <w:rFonts w:hint="eastAsia" w:ascii="宋体" w:hAnsi="宋体" w:cs="宋体"/>
                <w:spacing w:val="-10"/>
                <w:szCs w:val="21"/>
              </w:rPr>
            </w:pPr>
            <w:r>
              <w:rPr>
                <w:rFonts w:hint="eastAsia" w:ascii="宋体" w:hAnsi="宋体" w:cs="宋体"/>
                <w:spacing w:val="-10"/>
                <w:szCs w:val="21"/>
              </w:rPr>
              <w:t>1.确定资产和负债的账面价值</w:t>
            </w:r>
          </w:p>
          <w:p w14:paraId="0E9A3BF2">
            <w:pPr>
              <w:keepNext w:val="0"/>
              <w:keepLines w:val="0"/>
              <w:pageBreakBefore w:val="0"/>
              <w:widowControl w:val="0"/>
              <w:kinsoku/>
              <w:wordWrap/>
              <w:overflowPunct/>
              <w:topLinePunct w:val="0"/>
              <w:autoSpaceDE/>
              <w:autoSpaceDN/>
              <w:bidi w:val="0"/>
              <w:adjustRightInd/>
              <w:snapToGrid/>
              <w:ind w:firstLine="380" w:firstLineChars="200"/>
              <w:jc w:val="left"/>
              <w:textAlignment w:val="auto"/>
              <w:rPr>
                <w:rFonts w:hint="default" w:ascii="宋体" w:hAnsi="宋体" w:cs="宋体"/>
                <w:spacing w:val="-10"/>
                <w:szCs w:val="21"/>
                <w:lang w:val="en-US" w:eastAsia="zh-CN"/>
              </w:rPr>
            </w:pPr>
            <w:r>
              <w:rPr>
                <w:rFonts w:hint="default" w:ascii="宋体" w:hAnsi="宋体" w:cs="宋体"/>
                <w:spacing w:val="-10"/>
                <w:szCs w:val="21"/>
                <w:lang w:val="en-US" w:eastAsia="zh-CN"/>
              </w:rPr>
              <w:t>按照相关会计准则规定确定资产负债表中除递延所得税资产和递延所得税负债以外的其他资产和负债项目的账面价值。资产、负债的账面价值，是指企业按照相关会计准则的规定进行核算后在资产负债表中列示的金额。对于计提了减值准备的各项资产，是指其账面余额减去已计提的减值准备后的金额。例如，企业持有的应收账款账面余额为1000万元，企业对该应收账款计提了50万元的坏账准备，其账面价值为950万元。</w:t>
            </w:r>
          </w:p>
          <w:p w14:paraId="592ABEE9">
            <w:pPr>
              <w:ind w:firstLine="380" w:firstLineChars="200"/>
              <w:jc w:val="left"/>
              <w:rPr>
                <w:rFonts w:hint="eastAsia" w:ascii="宋体" w:hAnsi="宋体" w:cs="宋体"/>
                <w:spacing w:val="-10"/>
                <w:szCs w:val="21"/>
              </w:rPr>
            </w:pPr>
            <w:r>
              <w:rPr>
                <w:rFonts w:hint="eastAsia" w:ascii="宋体" w:hAnsi="宋体" w:cs="宋体"/>
                <w:spacing w:val="-10"/>
                <w:szCs w:val="21"/>
              </w:rPr>
              <w:t>2.确定资产和负债的计税基础</w:t>
            </w:r>
          </w:p>
          <w:p w14:paraId="059F2E0E">
            <w:pPr>
              <w:keepNext w:val="0"/>
              <w:keepLines w:val="0"/>
              <w:pageBreakBefore w:val="0"/>
              <w:widowControl w:val="0"/>
              <w:kinsoku/>
              <w:wordWrap/>
              <w:overflowPunct/>
              <w:topLinePunct w:val="0"/>
              <w:autoSpaceDE/>
              <w:autoSpaceDN/>
              <w:bidi w:val="0"/>
              <w:adjustRightInd/>
              <w:snapToGrid/>
              <w:ind w:firstLine="380" w:firstLineChars="200"/>
              <w:jc w:val="left"/>
              <w:textAlignment w:val="auto"/>
              <w:rPr>
                <w:rFonts w:hint="default" w:ascii="宋体" w:hAnsi="宋体" w:cs="宋体"/>
                <w:spacing w:val="-10"/>
                <w:szCs w:val="21"/>
                <w:lang w:val="en-US" w:eastAsia="zh-CN"/>
              </w:rPr>
            </w:pPr>
            <w:r>
              <w:rPr>
                <w:rFonts w:hint="default" w:ascii="宋体" w:hAnsi="宋体" w:cs="宋体"/>
                <w:spacing w:val="-10"/>
                <w:szCs w:val="21"/>
                <w:lang w:val="en-US" w:eastAsia="zh-CN"/>
              </w:rPr>
              <w:t>按照资产和负债计税基础的确定方法，以适用的税收法规为基础，确定资产负债表中有关资产、负债项目的计税基础。</w:t>
            </w:r>
          </w:p>
          <w:p w14:paraId="768B2333">
            <w:pPr>
              <w:ind w:firstLine="380" w:firstLineChars="200"/>
              <w:jc w:val="left"/>
              <w:rPr>
                <w:rFonts w:hint="eastAsia" w:ascii="宋体" w:hAnsi="宋体" w:cs="宋体"/>
                <w:spacing w:val="-10"/>
                <w:szCs w:val="21"/>
              </w:rPr>
            </w:pPr>
            <w:r>
              <w:rPr>
                <w:rFonts w:hint="eastAsia" w:ascii="宋体" w:hAnsi="宋体" w:cs="宋体"/>
                <w:spacing w:val="-10"/>
                <w:szCs w:val="21"/>
              </w:rPr>
              <w:t>3.计算递延所得税资产或递延所得税负债</w:t>
            </w:r>
          </w:p>
          <w:p w14:paraId="3C54D5E5">
            <w:pPr>
              <w:keepNext w:val="0"/>
              <w:keepLines w:val="0"/>
              <w:pageBreakBefore w:val="0"/>
              <w:widowControl w:val="0"/>
              <w:kinsoku/>
              <w:wordWrap/>
              <w:overflowPunct/>
              <w:topLinePunct w:val="0"/>
              <w:autoSpaceDE/>
              <w:autoSpaceDN/>
              <w:bidi w:val="0"/>
              <w:adjustRightInd/>
              <w:snapToGrid/>
              <w:ind w:firstLine="380" w:firstLineChars="200"/>
              <w:jc w:val="left"/>
              <w:textAlignment w:val="auto"/>
              <w:rPr>
                <w:rFonts w:hint="default" w:ascii="宋体" w:hAnsi="宋体" w:cs="宋体"/>
                <w:spacing w:val="-10"/>
                <w:szCs w:val="21"/>
                <w:lang w:val="en-US" w:eastAsia="zh-CN"/>
              </w:rPr>
            </w:pPr>
            <w:r>
              <w:rPr>
                <w:rFonts w:hint="default" w:ascii="宋体" w:hAnsi="宋体" w:cs="宋体"/>
                <w:spacing w:val="-10"/>
                <w:szCs w:val="21"/>
                <w:lang w:val="en-US" w:eastAsia="zh-CN"/>
              </w:rPr>
              <w:t>比较资产、负债的账面价值与其计税基础，对于两者之间存在差异的，分析其性质，除准则中规定的特殊情况外，分别应纳税暂时性差异与可抵扣暂时性差异，确定资产负债表日递延所得税负债和递延所得税资产的应有金额，并与期初递延所得税资产和递延所得税负债的余额相比，确定当期应予进一步确认的递延所得税资产和递延所得税负债金额或应予转销的金额，作为递延所得税。</w:t>
            </w:r>
          </w:p>
          <w:p w14:paraId="7FB90CAA">
            <w:pPr>
              <w:keepNext w:val="0"/>
              <w:keepLines w:val="0"/>
              <w:pageBreakBefore w:val="0"/>
              <w:widowControl w:val="0"/>
              <w:kinsoku/>
              <w:wordWrap/>
              <w:overflowPunct/>
              <w:topLinePunct w:val="0"/>
              <w:autoSpaceDE/>
              <w:autoSpaceDN/>
              <w:bidi w:val="0"/>
              <w:adjustRightInd/>
              <w:snapToGrid/>
              <w:ind w:firstLine="380" w:firstLineChars="200"/>
              <w:jc w:val="left"/>
              <w:textAlignment w:val="auto"/>
              <w:rPr>
                <w:rFonts w:hint="default" w:ascii="宋体" w:hAnsi="宋体" w:cs="宋体"/>
                <w:spacing w:val="-10"/>
                <w:szCs w:val="21"/>
                <w:lang w:val="en-US" w:eastAsia="zh-CN"/>
              </w:rPr>
            </w:pPr>
            <w:r>
              <w:rPr>
                <w:rFonts w:hint="eastAsia" w:ascii="宋体" w:hAnsi="宋体" w:cs="宋体"/>
                <w:spacing w:val="-10"/>
                <w:szCs w:val="21"/>
                <w:lang w:val="en-US" w:eastAsia="zh-CN"/>
              </w:rPr>
              <w:t>4.计</w:t>
            </w:r>
            <w:r>
              <w:rPr>
                <w:rFonts w:hint="default" w:ascii="宋体" w:hAnsi="宋体" w:cs="宋体"/>
                <w:spacing w:val="-10"/>
                <w:szCs w:val="21"/>
                <w:lang w:val="en-US" w:eastAsia="zh-CN"/>
              </w:rPr>
              <w:t>算确定当期应纳税所得额</w:t>
            </w:r>
          </w:p>
          <w:p w14:paraId="21FAA0EB">
            <w:pPr>
              <w:keepNext w:val="0"/>
              <w:keepLines w:val="0"/>
              <w:pageBreakBefore w:val="0"/>
              <w:widowControl w:val="0"/>
              <w:kinsoku/>
              <w:wordWrap/>
              <w:overflowPunct/>
              <w:topLinePunct w:val="0"/>
              <w:autoSpaceDE/>
              <w:autoSpaceDN/>
              <w:bidi w:val="0"/>
              <w:adjustRightInd/>
              <w:snapToGrid/>
              <w:ind w:firstLine="380" w:firstLineChars="200"/>
              <w:jc w:val="left"/>
              <w:textAlignment w:val="auto"/>
              <w:rPr>
                <w:rFonts w:hint="default" w:ascii="宋体" w:hAnsi="宋体" w:cs="宋体"/>
                <w:spacing w:val="-10"/>
                <w:szCs w:val="21"/>
                <w:lang w:val="en-US" w:eastAsia="zh-CN"/>
              </w:rPr>
            </w:pPr>
            <w:r>
              <w:rPr>
                <w:rFonts w:hint="default" w:ascii="宋体" w:hAnsi="宋体" w:cs="宋体"/>
                <w:spacing w:val="-10"/>
                <w:szCs w:val="21"/>
                <w:lang w:val="en-US" w:eastAsia="zh-CN"/>
              </w:rPr>
              <w:t>就企业当期发生的交易或事项，按照适用的税法规定计算确定当期应纳税所得额，将应纳税所得额与适用的所得税税率计算的结果确认为当期应交所得税，作为当期所得税。</w:t>
            </w:r>
          </w:p>
          <w:p w14:paraId="77BF623F">
            <w:pPr>
              <w:ind w:firstLine="380" w:firstLineChars="200"/>
              <w:jc w:val="left"/>
              <w:rPr>
                <w:rFonts w:hint="eastAsia" w:ascii="宋体" w:hAnsi="宋体" w:cs="宋体"/>
                <w:spacing w:val="-10"/>
                <w:szCs w:val="21"/>
              </w:rPr>
            </w:pPr>
            <w:r>
              <w:rPr>
                <w:rFonts w:hint="eastAsia" w:ascii="宋体" w:hAnsi="宋体" w:cs="宋体"/>
                <w:spacing w:val="-10"/>
                <w:szCs w:val="21"/>
                <w:lang w:val="en-US" w:eastAsia="zh-CN"/>
              </w:rPr>
              <w:t>5</w:t>
            </w:r>
            <w:r>
              <w:rPr>
                <w:rFonts w:hint="eastAsia" w:ascii="宋体" w:hAnsi="宋体" w:cs="宋体"/>
                <w:spacing w:val="-10"/>
                <w:szCs w:val="21"/>
              </w:rPr>
              <w:t>.确定利润表中的所得税费用</w:t>
            </w:r>
          </w:p>
          <w:p w14:paraId="1A3B46D9">
            <w:pPr>
              <w:keepNext w:val="0"/>
              <w:keepLines w:val="0"/>
              <w:pageBreakBefore w:val="0"/>
              <w:widowControl w:val="0"/>
              <w:kinsoku/>
              <w:wordWrap/>
              <w:overflowPunct/>
              <w:topLinePunct w:val="0"/>
              <w:autoSpaceDE/>
              <w:autoSpaceDN/>
              <w:bidi w:val="0"/>
              <w:adjustRightInd/>
              <w:snapToGrid/>
              <w:ind w:firstLine="380" w:firstLineChars="200"/>
              <w:jc w:val="left"/>
              <w:textAlignment w:val="auto"/>
              <w:rPr>
                <w:rFonts w:hint="default" w:ascii="宋体" w:hAnsi="宋体" w:cs="宋体"/>
                <w:spacing w:val="-10"/>
                <w:szCs w:val="21"/>
                <w:lang w:val="en-US" w:eastAsia="zh-CN"/>
              </w:rPr>
            </w:pPr>
            <w:r>
              <w:rPr>
                <w:rFonts w:hint="default" w:ascii="宋体" w:hAnsi="宋体" w:cs="宋体"/>
                <w:spacing w:val="-10"/>
                <w:szCs w:val="21"/>
                <w:lang w:val="en-US" w:eastAsia="zh-CN"/>
              </w:rPr>
              <w:t>确定利润表中的所得税费用。利润表中的所得税费用包括当期所得税(当期应交所得税)和递延所得税两个组成部分，企业在计算确定了当期所得税和递延所得税后，两者之和(或之差)</w:t>
            </w:r>
            <w:r>
              <w:rPr>
                <w:rFonts w:hint="eastAsia" w:ascii="宋体" w:hAnsi="宋体" w:cs="宋体"/>
                <w:spacing w:val="-10"/>
                <w:szCs w:val="21"/>
                <w:lang w:val="en-US" w:eastAsia="zh-CN"/>
              </w:rPr>
              <w:t>，</w:t>
            </w:r>
            <w:r>
              <w:rPr>
                <w:rFonts w:hint="default" w:ascii="宋体" w:hAnsi="宋体" w:cs="宋体"/>
                <w:spacing w:val="-10"/>
                <w:szCs w:val="21"/>
                <w:lang w:val="en-US" w:eastAsia="zh-CN"/>
              </w:rPr>
              <w:t>是利润表中的所得税费用。</w:t>
            </w:r>
          </w:p>
          <w:p w14:paraId="452C8EDE">
            <w:pPr>
              <w:ind w:firstLine="380" w:firstLineChars="200"/>
              <w:jc w:val="center"/>
              <w:rPr>
                <w:rFonts w:hint="eastAsia" w:ascii="宋体" w:hAnsi="宋体" w:cs="宋体"/>
                <w:spacing w:val="-10"/>
                <w:szCs w:val="21"/>
              </w:rPr>
            </w:pPr>
            <w:r>
              <w:rPr>
                <w:rFonts w:hint="eastAsia" w:ascii="楷体" w:hAnsi="楷体" w:eastAsia="楷体" w:cs="楷体"/>
                <w:spacing w:val="-10"/>
                <w:szCs w:val="21"/>
              </w:rPr>
              <w:t>所得税费用=当期所得税+递延所得税</w:t>
            </w:r>
          </w:p>
          <w:p w14:paraId="04F1AC0F">
            <w:pPr>
              <w:jc w:val="left"/>
              <w:rPr>
                <w:rFonts w:hint="default" w:ascii="宋体" w:hAnsi="宋体" w:cs="宋体"/>
                <w:spacing w:val="-10"/>
                <w:szCs w:val="21"/>
                <w:lang w:val="en-US" w:eastAsia="zh-CN"/>
              </w:rPr>
            </w:pPr>
          </w:p>
          <w:p w14:paraId="3EBC2120">
            <w:pPr>
              <w:jc w:val="center"/>
              <w:outlineLvl w:val="1"/>
              <w:rPr>
                <w:rFonts w:hint="default" w:ascii="宋体" w:hAnsi="宋体" w:eastAsia="宋体" w:cs="宋体"/>
                <w:b/>
                <w:bCs/>
                <w:spacing w:val="-10"/>
                <w:szCs w:val="21"/>
                <w:lang w:val="en-US" w:eastAsia="zh-CN"/>
              </w:rPr>
            </w:pPr>
            <w:bookmarkStart w:id="4" w:name="_Toc7419"/>
            <w:r>
              <w:rPr>
                <w:rFonts w:hint="eastAsia" w:ascii="宋体" w:hAnsi="宋体" w:cs="宋体"/>
                <w:b/>
                <w:bCs/>
                <w:spacing w:val="-10"/>
                <w:szCs w:val="21"/>
                <w:lang w:val="en-US" w:eastAsia="zh-CN"/>
              </w:rPr>
              <w:t>任务二  资产、负债的计税基础</w:t>
            </w:r>
            <w:bookmarkEnd w:id="4"/>
          </w:p>
          <w:p w14:paraId="0C305776">
            <w:pPr>
              <w:ind w:firstLine="380" w:firstLineChars="200"/>
              <w:jc w:val="left"/>
              <w:rPr>
                <w:rFonts w:hint="eastAsia" w:ascii="宋体" w:hAnsi="宋体" w:cs="宋体"/>
                <w:spacing w:val="-10"/>
                <w:szCs w:val="21"/>
              </w:rPr>
            </w:pPr>
            <w:r>
              <w:rPr>
                <w:rFonts w:hint="eastAsia" w:ascii="宋体" w:hAnsi="宋体" w:cs="宋体"/>
                <w:spacing w:val="-10"/>
                <w:szCs w:val="21"/>
              </w:rPr>
              <w:t>采用资产负债表债务法，要求企业的资产及负债应根据会计准则与税法的不同要求分别进行计价，简称会计计价基础和税法计价基础。会计计价基础即资产或负债的账面价值税法计价基础，即计税基础，是在资产负债表日，根据税法规定为计算应交所得税所确认的资产、负债的价值。</w:t>
            </w:r>
          </w:p>
          <w:p w14:paraId="1865DE8F">
            <w:pPr>
              <w:jc w:val="left"/>
              <w:outlineLvl w:val="2"/>
              <w:rPr>
                <w:rFonts w:hint="eastAsia" w:ascii="宋体" w:hAnsi="宋体" w:cs="宋体"/>
                <w:b/>
                <w:bCs/>
                <w:spacing w:val="-10"/>
                <w:szCs w:val="21"/>
              </w:rPr>
            </w:pPr>
            <w:bookmarkStart w:id="5" w:name="_Toc3390"/>
            <w:r>
              <w:rPr>
                <w:rFonts w:hint="eastAsia" w:ascii="宋体" w:hAnsi="宋体" w:cs="宋体"/>
                <w:b/>
                <w:bCs/>
                <w:spacing w:val="-10"/>
                <w:szCs w:val="21"/>
                <w:lang w:val="en-US" w:eastAsia="zh-CN"/>
              </w:rPr>
              <w:t>一、</w:t>
            </w:r>
            <w:r>
              <w:rPr>
                <w:rFonts w:hint="eastAsia" w:ascii="宋体" w:hAnsi="宋体" w:cs="宋体"/>
                <w:b/>
                <w:bCs/>
                <w:spacing w:val="-10"/>
                <w:szCs w:val="21"/>
              </w:rPr>
              <w:t>资产的计税基础</w:t>
            </w:r>
            <w:bookmarkEnd w:id="5"/>
          </w:p>
          <w:p w14:paraId="4635CA03">
            <w:pPr>
              <w:ind w:firstLine="380" w:firstLineChars="200"/>
              <w:jc w:val="left"/>
              <w:rPr>
                <w:rFonts w:hint="eastAsia" w:ascii="宋体" w:hAnsi="宋体" w:cs="宋体"/>
                <w:spacing w:val="-10"/>
                <w:szCs w:val="21"/>
              </w:rPr>
            </w:pPr>
            <w:r>
              <w:rPr>
                <w:rFonts w:hint="eastAsia" w:ascii="宋体" w:hAnsi="宋体" w:cs="宋体"/>
                <w:spacing w:val="-10"/>
                <w:szCs w:val="21"/>
              </w:rPr>
              <w:t>资产的计税基础是指在企业收回资产账面价值的过程中，计算应纳税所得额时按照税法规定可以自应税经济利益中抵扣的金额，即某一项资产在未来期间计税时可以税前扣除的金额。从税收的角度考虑，资产的计税基础是假定企业按照税法规定进行核算所提供的资产负债表中资产的应有金额。如果有关的经济利益不纳税，则资产的计税基础即为其账面价值。</w:t>
            </w:r>
          </w:p>
          <w:p w14:paraId="1E61B15C">
            <w:pPr>
              <w:ind w:firstLine="380" w:firstLineChars="200"/>
              <w:jc w:val="left"/>
              <w:rPr>
                <w:rFonts w:hint="eastAsia" w:ascii="宋体" w:hAnsi="宋体" w:cs="宋体"/>
                <w:spacing w:val="-10"/>
                <w:szCs w:val="21"/>
              </w:rPr>
            </w:pPr>
            <w:r>
              <w:rPr>
                <w:rFonts w:hint="eastAsia" w:ascii="宋体" w:hAnsi="宋体" w:cs="宋体"/>
                <w:spacing w:val="-10"/>
                <w:szCs w:val="21"/>
              </w:rPr>
              <w:t>资产在初始确认时，其计税基础一般为取得成本。在资产持续持有的过程中，可在未来期间税前扣除的金额是指资产的取得成本减去以前期间按照税法规定已经税前扣除的余额。</w:t>
            </w:r>
          </w:p>
          <w:p w14:paraId="0B481229">
            <w:pPr>
              <w:ind w:firstLine="380" w:firstLineChars="200"/>
              <w:jc w:val="left"/>
              <w:rPr>
                <w:rFonts w:hint="eastAsia" w:ascii="宋体" w:hAnsi="宋体" w:cs="宋体"/>
                <w:spacing w:val="-10"/>
                <w:szCs w:val="21"/>
              </w:rPr>
            </w:pPr>
            <w:r>
              <w:rPr>
                <w:rFonts w:hint="eastAsia" w:ascii="宋体" w:hAnsi="宋体" w:cs="宋体"/>
                <w:spacing w:val="-10"/>
                <w:szCs w:val="21"/>
              </w:rPr>
              <w:t>企业应当按照适用的税收法规规定计算确定资产的计税基础。如固定资产、无形资产等的计税基础可确定如下：</w:t>
            </w:r>
          </w:p>
          <w:p w14:paraId="355E180E">
            <w:pPr>
              <w:numPr>
                <w:ilvl w:val="0"/>
                <w:numId w:val="3"/>
              </w:numPr>
              <w:ind w:firstLine="382" w:firstLineChars="200"/>
              <w:jc w:val="left"/>
              <w:rPr>
                <w:rFonts w:hint="eastAsia" w:ascii="宋体" w:hAnsi="宋体" w:cs="宋体"/>
                <w:b/>
                <w:bCs/>
                <w:spacing w:val="-10"/>
                <w:szCs w:val="21"/>
              </w:rPr>
            </w:pPr>
            <w:r>
              <w:rPr>
                <w:rFonts w:hint="eastAsia" w:ascii="宋体" w:hAnsi="宋体" w:cs="宋体"/>
                <w:b/>
                <w:bCs/>
                <w:spacing w:val="-10"/>
                <w:szCs w:val="21"/>
              </w:rPr>
              <w:t>固定资产计税基础</w:t>
            </w:r>
          </w:p>
          <w:p w14:paraId="3FEDF32D">
            <w:pPr>
              <w:numPr>
                <w:ilvl w:val="0"/>
                <w:numId w:val="0"/>
              </w:numPr>
              <w:ind w:firstLine="380" w:firstLineChars="200"/>
              <w:jc w:val="left"/>
              <w:rPr>
                <w:rFonts w:hint="eastAsia" w:ascii="宋体" w:hAnsi="宋体" w:cs="宋体"/>
                <w:spacing w:val="-10"/>
                <w:szCs w:val="21"/>
              </w:rPr>
            </w:pPr>
            <w:r>
              <w:rPr>
                <w:rFonts w:hint="eastAsia" w:ascii="宋体" w:hAnsi="宋体" w:cs="宋体"/>
                <w:spacing w:val="-10"/>
                <w:szCs w:val="21"/>
              </w:rPr>
              <w:t>以各种方式取得的固定资产，初始确认时按照会计准则规定确定的入账价值基本上是被税法认可的，即取得时其账面价值一般等于计税基础。</w:t>
            </w:r>
          </w:p>
          <w:p w14:paraId="14B93FC4">
            <w:pPr>
              <w:numPr>
                <w:ilvl w:val="0"/>
                <w:numId w:val="0"/>
              </w:numPr>
              <w:ind w:firstLine="380" w:firstLineChars="200"/>
              <w:jc w:val="left"/>
              <w:rPr>
                <w:rFonts w:hint="eastAsia" w:ascii="宋体" w:hAnsi="宋体" w:cs="宋体"/>
                <w:spacing w:val="-10"/>
                <w:szCs w:val="21"/>
              </w:rPr>
            </w:pPr>
            <w:r>
              <w:rPr>
                <w:rFonts w:hint="eastAsia" w:ascii="宋体" w:hAnsi="宋体" w:cs="宋体"/>
                <w:spacing w:val="-10"/>
                <w:szCs w:val="21"/>
              </w:rPr>
              <w:t>固定资产在持有期间进行后续计量时，由于会计与税法规定就折旧方法、折旧年限以及固定资产减值准备的提取等处理的不同</w:t>
            </w:r>
            <w:r>
              <w:rPr>
                <w:rFonts w:hint="eastAsia" w:ascii="宋体" w:hAnsi="宋体" w:cs="宋体"/>
                <w:spacing w:val="-10"/>
                <w:szCs w:val="21"/>
                <w:lang w:eastAsia="zh-CN"/>
              </w:rPr>
              <w:t>，</w:t>
            </w:r>
            <w:r>
              <w:rPr>
                <w:rFonts w:hint="eastAsia" w:ascii="宋体" w:hAnsi="宋体" w:cs="宋体"/>
                <w:spacing w:val="-10"/>
                <w:szCs w:val="21"/>
              </w:rPr>
              <w:t>造成固定资产的账面价值与计税基础的差异。</w:t>
            </w:r>
          </w:p>
          <w:p w14:paraId="51B0D5C8">
            <w:pPr>
              <w:numPr>
                <w:ilvl w:val="0"/>
                <w:numId w:val="0"/>
              </w:numPr>
              <w:ind w:firstLine="380" w:firstLineChars="200"/>
              <w:jc w:val="left"/>
              <w:rPr>
                <w:rFonts w:hint="eastAsia" w:ascii="宋体" w:hAnsi="宋体" w:cs="宋体"/>
                <w:spacing w:val="-10"/>
                <w:szCs w:val="21"/>
              </w:rPr>
            </w:pPr>
            <w:r>
              <w:rPr>
                <w:rFonts w:hint="eastAsia" w:ascii="宋体" w:hAnsi="宋体" w:cs="宋体"/>
                <w:spacing w:val="-10"/>
                <w:szCs w:val="21"/>
              </w:rPr>
              <w:t>1.折旧方法、折旧年限的差异</w:t>
            </w:r>
          </w:p>
          <w:p w14:paraId="4C48778D">
            <w:pPr>
              <w:numPr>
                <w:ilvl w:val="0"/>
                <w:numId w:val="0"/>
              </w:numPr>
              <w:ind w:firstLine="380" w:firstLineChars="200"/>
              <w:jc w:val="left"/>
              <w:rPr>
                <w:rFonts w:hint="eastAsia" w:ascii="宋体" w:hAnsi="宋体" w:cs="宋体"/>
                <w:spacing w:val="-10"/>
                <w:szCs w:val="21"/>
              </w:rPr>
            </w:pPr>
            <w:r>
              <w:rPr>
                <w:rFonts w:hint="eastAsia" w:ascii="宋体" w:hAnsi="宋体" w:cs="宋体"/>
                <w:spacing w:val="-10"/>
                <w:szCs w:val="21"/>
              </w:rPr>
              <w:t>会计准则规定，企业应当根据与固定资产有关的经济利益的预期实现方式合理选择折旧方法，如可以按年限平均法计提折旧，也可以按照双倍余额递减法、年数总和法等计提折旧；前提是企业选用的有关折旧方法反映相关固定资产包含经济利益的实现方式。税法中除某些按照规定可以加速折旧的情况外，基本上可以税前扣除的是按照年限平均法计提的折旧；另外，税法还就每一类固定资产的最低折旧年限作出了规定，而会计准则规定折旧年限是由企业根据固定资产的性质和使用情况合理确定的。如企业进行会计处理时确定的折旧年限与税法规定不同，也会因每一期间折旧额的差异产生固定资产在资产负债表日账面价值与计税基础的差异。</w:t>
            </w:r>
          </w:p>
          <w:p w14:paraId="400DD828">
            <w:pPr>
              <w:jc w:val="left"/>
              <w:rPr>
                <w:rFonts w:hint="eastAsia" w:ascii="宋体" w:hAnsi="宋体" w:cs="宋体"/>
                <w:b/>
                <w:bCs/>
                <w:spacing w:val="-10"/>
                <w:szCs w:val="21"/>
              </w:rPr>
            </w:pPr>
            <w:r>
              <w:rPr>
                <w:rFonts w:hint="eastAsia" w:ascii="宋体" w:hAnsi="宋体" w:cs="宋体"/>
                <w:b/>
                <w:bCs/>
                <w:spacing w:val="-10"/>
                <w:szCs w:val="21"/>
              </w:rPr>
              <w:t>【典型案例1</w:t>
            </w:r>
            <w:r>
              <w:rPr>
                <w:rFonts w:hint="eastAsia" w:ascii="宋体" w:hAnsi="宋体" w:cs="宋体"/>
                <w:b/>
                <w:bCs/>
                <w:spacing w:val="-10"/>
                <w:szCs w:val="21"/>
                <w:lang w:val="en-US" w:eastAsia="zh-CN"/>
              </w:rPr>
              <w:t>1</w:t>
            </w:r>
            <w:r>
              <w:rPr>
                <w:rFonts w:hint="eastAsia" w:ascii="宋体" w:hAnsi="宋体" w:cs="宋体"/>
                <w:b/>
                <w:bCs/>
                <w:spacing w:val="-10"/>
                <w:szCs w:val="21"/>
              </w:rPr>
              <w:t>-</w:t>
            </w:r>
            <w:r>
              <w:rPr>
                <w:rFonts w:hint="eastAsia" w:ascii="宋体" w:hAnsi="宋体" w:cs="宋体"/>
                <w:b/>
                <w:bCs/>
                <w:spacing w:val="-10"/>
                <w:szCs w:val="21"/>
                <w:lang w:val="en-US" w:eastAsia="zh-CN"/>
              </w:rPr>
              <w:t>2</w:t>
            </w:r>
            <w:r>
              <w:rPr>
                <w:rFonts w:hint="eastAsia" w:ascii="宋体" w:hAnsi="宋体" w:cs="宋体"/>
                <w:b/>
                <w:bCs/>
                <w:spacing w:val="-10"/>
                <w:szCs w:val="21"/>
              </w:rPr>
              <w:t>】</w:t>
            </w:r>
          </w:p>
          <w:p w14:paraId="4A44A43E">
            <w:pPr>
              <w:numPr>
                <w:ilvl w:val="0"/>
                <w:numId w:val="0"/>
              </w:num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lang w:val="en-US" w:eastAsia="zh-CN"/>
              </w:rPr>
              <w:t>A公司</w:t>
            </w:r>
            <w:r>
              <w:rPr>
                <w:rFonts w:hint="eastAsia" w:ascii="楷体" w:hAnsi="楷体" w:eastAsia="楷体" w:cs="楷体"/>
                <w:spacing w:val="-10"/>
                <w:szCs w:val="21"/>
              </w:rPr>
              <w:t>于2×24年12月取得一项设备，价值为300万元，税法和会计上都采用年限平均法计提折旧(假定无残值)。会计核算按5年提取折旧，税法规定按10年计提折旧。</w:t>
            </w:r>
          </w:p>
          <w:p w14:paraId="6A4B723C">
            <w:pPr>
              <w:numPr>
                <w:ilvl w:val="0"/>
                <w:numId w:val="0"/>
              </w:numPr>
              <w:ind w:firstLine="380" w:firstLineChars="200"/>
              <w:jc w:val="left"/>
              <w:rPr>
                <w:rFonts w:hint="eastAsia" w:ascii="楷体" w:hAnsi="楷体" w:eastAsia="楷体" w:cs="楷体"/>
                <w:spacing w:val="-10"/>
                <w:szCs w:val="21"/>
                <w:lang w:eastAsia="zh-CN"/>
              </w:rPr>
            </w:pPr>
            <w:r>
              <w:rPr>
                <w:rFonts w:hint="eastAsia" w:ascii="楷体" w:hAnsi="楷体" w:eastAsia="楷体" w:cs="楷体"/>
                <w:spacing w:val="-10"/>
                <w:szCs w:val="21"/>
                <w:lang w:val="en-US" w:eastAsia="zh-CN"/>
              </w:rPr>
              <w:t>要求：分析A公司</w:t>
            </w:r>
            <w:r>
              <w:rPr>
                <w:rFonts w:hint="eastAsia" w:ascii="楷体" w:hAnsi="楷体" w:eastAsia="楷体" w:cs="楷体"/>
                <w:spacing w:val="-10"/>
                <w:szCs w:val="21"/>
              </w:rPr>
              <w:t>该项固定资产</w:t>
            </w:r>
            <w:r>
              <w:rPr>
                <w:rFonts w:hint="eastAsia" w:ascii="楷体" w:hAnsi="楷体" w:eastAsia="楷体" w:cs="楷体"/>
                <w:spacing w:val="-10"/>
                <w:szCs w:val="21"/>
                <w:lang w:val="en-US" w:eastAsia="zh-CN"/>
              </w:rPr>
              <w:t>2</w:t>
            </w:r>
            <w:r>
              <w:rPr>
                <w:rFonts w:hint="eastAsia" w:ascii="楷体" w:hAnsi="楷体" w:eastAsia="楷体" w:cs="楷体"/>
                <w:spacing w:val="-10"/>
                <w:szCs w:val="21"/>
              </w:rPr>
              <w:t>×24年</w:t>
            </w:r>
            <w:r>
              <w:rPr>
                <w:rFonts w:hint="eastAsia" w:ascii="楷体" w:hAnsi="楷体" w:eastAsia="楷体" w:cs="楷体"/>
                <w:spacing w:val="-10"/>
                <w:szCs w:val="21"/>
                <w:lang w:eastAsia="zh-CN"/>
              </w:rPr>
              <w:t>、</w:t>
            </w:r>
            <w:r>
              <w:rPr>
                <w:rFonts w:hint="eastAsia" w:ascii="楷体" w:hAnsi="楷体" w:eastAsia="楷体" w:cs="楷体"/>
                <w:spacing w:val="-10"/>
                <w:szCs w:val="21"/>
              </w:rPr>
              <w:t>2×25年账面价值与计税基础</w:t>
            </w:r>
            <w:r>
              <w:rPr>
                <w:rFonts w:hint="eastAsia" w:ascii="楷体" w:hAnsi="楷体" w:eastAsia="楷体" w:cs="楷体"/>
                <w:spacing w:val="-10"/>
                <w:szCs w:val="21"/>
                <w:lang w:eastAsia="zh-CN"/>
              </w:rPr>
              <w:t>。</w:t>
            </w:r>
          </w:p>
          <w:p w14:paraId="18672E8C">
            <w:pPr>
              <w:jc w:val="left"/>
              <w:rPr>
                <w:rFonts w:hint="eastAsia" w:ascii="宋体" w:hAnsi="宋体" w:cs="宋体"/>
                <w:b/>
                <w:bCs/>
                <w:spacing w:val="-10"/>
                <w:szCs w:val="21"/>
              </w:rPr>
            </w:pPr>
            <w:r>
              <w:rPr>
                <w:rFonts w:hint="eastAsia" w:ascii="宋体" w:hAnsi="宋体" w:cs="宋体"/>
                <w:b/>
                <w:bCs/>
                <w:spacing w:val="-10"/>
                <w:szCs w:val="21"/>
              </w:rPr>
              <w:t>【典型案例1</w:t>
            </w:r>
            <w:r>
              <w:rPr>
                <w:rFonts w:hint="eastAsia" w:ascii="宋体" w:hAnsi="宋体" w:cs="宋体"/>
                <w:b/>
                <w:bCs/>
                <w:spacing w:val="-10"/>
                <w:szCs w:val="21"/>
                <w:lang w:val="en-US" w:eastAsia="zh-CN"/>
              </w:rPr>
              <w:t>1</w:t>
            </w:r>
            <w:r>
              <w:rPr>
                <w:rFonts w:hint="eastAsia" w:ascii="宋体" w:hAnsi="宋体" w:cs="宋体"/>
                <w:b/>
                <w:bCs/>
                <w:spacing w:val="-10"/>
                <w:szCs w:val="21"/>
              </w:rPr>
              <w:t>-</w:t>
            </w:r>
            <w:r>
              <w:rPr>
                <w:rFonts w:hint="eastAsia" w:ascii="宋体" w:hAnsi="宋体" w:cs="宋体"/>
                <w:b/>
                <w:bCs/>
                <w:spacing w:val="-10"/>
                <w:szCs w:val="21"/>
                <w:lang w:val="en-US" w:eastAsia="zh-CN"/>
              </w:rPr>
              <w:t>2解析</w:t>
            </w:r>
            <w:r>
              <w:rPr>
                <w:rFonts w:hint="eastAsia" w:ascii="宋体" w:hAnsi="宋体" w:cs="宋体"/>
                <w:b/>
                <w:bCs/>
                <w:spacing w:val="-10"/>
                <w:szCs w:val="21"/>
              </w:rPr>
              <w:t>】</w:t>
            </w:r>
          </w:p>
          <w:p w14:paraId="6C1EEAF8">
            <w:pPr>
              <w:numPr>
                <w:ilvl w:val="0"/>
                <w:numId w:val="0"/>
              </w:numPr>
              <w:ind w:firstLine="380" w:firstLineChars="200"/>
              <w:jc w:val="left"/>
              <w:rPr>
                <w:rFonts w:hint="eastAsia" w:ascii="宋体" w:hAnsi="宋体" w:cs="宋体"/>
                <w:spacing w:val="-10"/>
                <w:szCs w:val="21"/>
              </w:rPr>
            </w:pPr>
            <w:r>
              <w:rPr>
                <w:rFonts w:hint="eastAsia" w:ascii="楷体" w:hAnsi="楷体" w:eastAsia="楷体" w:cs="楷体"/>
                <w:spacing w:val="-10"/>
                <w:szCs w:val="21"/>
              </w:rPr>
              <w:t>在2×24年，该项固定资产账面价值与计税基础相等。但在2×25年，固定资产账面价值为240万元，计税基础为270万元。</w:t>
            </w:r>
          </w:p>
          <w:p w14:paraId="7ECCDB9E">
            <w:pPr>
              <w:numPr>
                <w:ilvl w:val="0"/>
                <w:numId w:val="0"/>
              </w:numPr>
              <w:ind w:firstLine="380" w:firstLineChars="200"/>
              <w:jc w:val="left"/>
              <w:rPr>
                <w:rFonts w:hint="eastAsia" w:ascii="宋体" w:hAnsi="宋体" w:cs="宋体"/>
                <w:spacing w:val="-10"/>
                <w:szCs w:val="21"/>
              </w:rPr>
            </w:pPr>
            <w:r>
              <w:rPr>
                <w:rFonts w:hint="eastAsia" w:ascii="宋体" w:hAnsi="宋体" w:cs="宋体"/>
                <w:spacing w:val="-10"/>
                <w:szCs w:val="21"/>
              </w:rPr>
              <w:t>2.因计提固定资产减值准备产生的差异</w:t>
            </w:r>
          </w:p>
          <w:p w14:paraId="32D5867B">
            <w:pPr>
              <w:numPr>
                <w:ilvl w:val="0"/>
                <w:numId w:val="0"/>
              </w:numPr>
              <w:ind w:firstLine="380" w:firstLineChars="200"/>
              <w:jc w:val="left"/>
              <w:rPr>
                <w:rFonts w:hint="eastAsia" w:ascii="宋体" w:hAnsi="宋体" w:cs="宋体"/>
                <w:spacing w:val="-10"/>
                <w:szCs w:val="21"/>
              </w:rPr>
            </w:pPr>
            <w:r>
              <w:rPr>
                <w:rFonts w:hint="eastAsia" w:ascii="宋体" w:hAnsi="宋体" w:cs="宋体"/>
                <w:spacing w:val="-10"/>
                <w:szCs w:val="21"/>
              </w:rPr>
              <w:t>持有固定资产的期间内，在对固定资产计提了减值准备以后，因税法规定企业计提的资产减值准备在发生实质性损失前不允许税前扣除，在有关减值准备转变为实质性损失前，也会造成固定资产的账面价值与计税基础的差异。</w:t>
            </w:r>
          </w:p>
          <w:p w14:paraId="38F5D73C">
            <w:pPr>
              <w:numPr>
                <w:ilvl w:val="0"/>
                <w:numId w:val="3"/>
              </w:numPr>
              <w:ind w:left="0" w:leftChars="0" w:firstLine="382" w:firstLineChars="200"/>
              <w:jc w:val="left"/>
              <w:rPr>
                <w:rFonts w:hint="eastAsia" w:ascii="宋体" w:hAnsi="宋体" w:cs="宋体"/>
                <w:b/>
                <w:bCs/>
                <w:spacing w:val="-10"/>
                <w:szCs w:val="21"/>
              </w:rPr>
            </w:pPr>
            <w:r>
              <w:rPr>
                <w:rFonts w:hint="eastAsia" w:ascii="宋体" w:hAnsi="宋体" w:cs="宋体"/>
                <w:b/>
                <w:bCs/>
                <w:spacing w:val="-10"/>
                <w:szCs w:val="21"/>
              </w:rPr>
              <w:t>无形资产计税基础</w:t>
            </w:r>
          </w:p>
          <w:p w14:paraId="3567C5C4">
            <w:pPr>
              <w:numPr>
                <w:ilvl w:val="0"/>
                <w:numId w:val="0"/>
              </w:numPr>
              <w:ind w:firstLine="380" w:firstLineChars="200"/>
              <w:jc w:val="left"/>
              <w:rPr>
                <w:rFonts w:hint="eastAsia" w:ascii="宋体" w:hAnsi="宋体" w:cs="宋体"/>
                <w:spacing w:val="-10"/>
                <w:szCs w:val="21"/>
              </w:rPr>
            </w:pPr>
            <w:r>
              <w:rPr>
                <w:rFonts w:hint="eastAsia" w:ascii="宋体" w:hAnsi="宋体" w:cs="宋体"/>
                <w:spacing w:val="-10"/>
                <w:szCs w:val="21"/>
              </w:rPr>
              <w:t>除内部研究开发形成的无形资产以外，其他方式取得的无形资产，初始确认时按照会计准则规定确定的入账价值与按照税法规定确定的计税基础之间一般不存在差异。无形资产的差异主要产生于内部研究开发形成的无形资产以及使用寿命不确定的无形资产。</w:t>
            </w:r>
          </w:p>
          <w:p w14:paraId="273C2B4A">
            <w:pPr>
              <w:numPr>
                <w:ilvl w:val="0"/>
                <w:numId w:val="0"/>
              </w:numPr>
              <w:ind w:firstLine="380" w:firstLineChars="200"/>
              <w:jc w:val="left"/>
              <w:rPr>
                <w:rFonts w:hint="eastAsia" w:ascii="宋体" w:hAnsi="宋体" w:cs="宋体"/>
                <w:spacing w:val="-10"/>
                <w:szCs w:val="21"/>
              </w:rPr>
            </w:pPr>
            <w:r>
              <w:rPr>
                <w:rFonts w:hint="eastAsia" w:ascii="宋体" w:hAnsi="宋体" w:cs="宋体"/>
                <w:spacing w:val="-10"/>
                <w:szCs w:val="21"/>
                <w:lang w:val="en-US" w:eastAsia="zh-CN"/>
              </w:rPr>
              <w:t>1.</w:t>
            </w:r>
            <w:r>
              <w:rPr>
                <w:rFonts w:hint="eastAsia" w:ascii="宋体" w:hAnsi="宋体" w:cs="宋体"/>
                <w:spacing w:val="-10"/>
                <w:szCs w:val="21"/>
              </w:rPr>
              <w:t>内部研究开发形成的无形资产</w:t>
            </w:r>
          </w:p>
          <w:p w14:paraId="724F0BB5">
            <w:pPr>
              <w:numPr>
                <w:ilvl w:val="0"/>
                <w:numId w:val="0"/>
              </w:numPr>
              <w:ind w:firstLine="380" w:firstLineChars="200"/>
              <w:jc w:val="left"/>
              <w:rPr>
                <w:rFonts w:hint="eastAsia" w:ascii="宋体" w:hAnsi="宋体" w:cs="宋体"/>
                <w:spacing w:val="-10"/>
                <w:szCs w:val="21"/>
              </w:rPr>
            </w:pPr>
            <w:r>
              <w:rPr>
                <w:rFonts w:hint="eastAsia" w:ascii="宋体" w:hAnsi="宋体" w:cs="宋体"/>
                <w:spacing w:val="-10"/>
                <w:szCs w:val="21"/>
              </w:rPr>
              <w:t>内部研究开发形成的无形资产</w:t>
            </w:r>
            <w:r>
              <w:rPr>
                <w:rFonts w:hint="eastAsia" w:ascii="宋体" w:hAnsi="宋体" w:cs="宋体"/>
                <w:spacing w:val="-10"/>
                <w:szCs w:val="21"/>
                <w:lang w:eastAsia="zh-CN"/>
              </w:rPr>
              <w:t>，</w:t>
            </w:r>
            <w:r>
              <w:rPr>
                <w:rFonts w:hint="eastAsia" w:ascii="宋体" w:hAnsi="宋体" w:cs="宋体"/>
                <w:spacing w:val="-10"/>
                <w:szCs w:val="21"/>
              </w:rPr>
              <w:t>其成本为开发阶段符合资本化条件以后至达到预定用途前发生的支出，除此之外，研究开发过程中发生的其他支出应予费用化计入损益；税法规定，自行开发的无形资产，以开发过程中该资产符合资本化条件后至达到预定用途前发生的支出为计税基础。另外，对于研究开发费用的加计扣除，假定税法中规定企业为开发新技术、新产品、新工艺发生的研究开发费用，未形成无形资产计入当期损益的，在按照规定据实扣除的基础上，按照研究开发费用的100%加计扣除；形成无形资产的，按照无形资产成本的200%摊销。</w:t>
            </w:r>
          </w:p>
          <w:p w14:paraId="105CB5E8">
            <w:pPr>
              <w:numPr>
                <w:ilvl w:val="0"/>
                <w:numId w:val="0"/>
              </w:numPr>
              <w:ind w:firstLine="380" w:firstLineChars="200"/>
              <w:jc w:val="left"/>
              <w:rPr>
                <w:rFonts w:hint="eastAsia" w:ascii="宋体" w:hAnsi="宋体" w:cs="宋体"/>
                <w:spacing w:val="-10"/>
                <w:szCs w:val="21"/>
              </w:rPr>
            </w:pPr>
            <w:r>
              <w:rPr>
                <w:rFonts w:hint="eastAsia" w:ascii="宋体" w:hAnsi="宋体" w:cs="宋体"/>
                <w:spacing w:val="-10"/>
                <w:szCs w:val="21"/>
              </w:rPr>
              <w:t>另外，会计准则中规定有例外条款，即如该无形资产的确认不是产生于企业合并交易，同时在确认时既不影响会计利润也不影响应纳税所得额，则不确认该暂时性差异的所得税影响。该种情况下，无形资产在初始确认时，对于会计与税收规定之间存在的暂时性差异不予确认，持有过程中，在初始未予确认暂时性差异的所得税影响范围内的摊销额等的差异亦不予确认。</w:t>
            </w:r>
          </w:p>
          <w:p w14:paraId="3FFD3416">
            <w:pPr>
              <w:numPr>
                <w:ilvl w:val="0"/>
                <w:numId w:val="0"/>
              </w:numPr>
              <w:ind w:firstLine="380" w:firstLineChars="200"/>
              <w:jc w:val="left"/>
              <w:rPr>
                <w:rFonts w:hint="eastAsia" w:ascii="宋体" w:hAnsi="宋体" w:cs="宋体"/>
                <w:spacing w:val="-10"/>
                <w:szCs w:val="21"/>
                <w:lang w:val="en-US" w:eastAsia="zh-CN"/>
              </w:rPr>
            </w:pPr>
            <w:r>
              <w:rPr>
                <w:rFonts w:hint="eastAsia" w:ascii="宋体" w:hAnsi="宋体" w:cs="宋体"/>
                <w:spacing w:val="-10"/>
                <w:szCs w:val="21"/>
                <w:lang w:val="en-US" w:eastAsia="zh-CN"/>
              </w:rPr>
              <w:t>2.</w:t>
            </w:r>
            <w:r>
              <w:rPr>
                <w:rFonts w:hint="eastAsia" w:ascii="宋体" w:hAnsi="宋体" w:cs="宋体"/>
                <w:spacing w:val="-10"/>
                <w:szCs w:val="21"/>
              </w:rPr>
              <w:t>无形资产后续计量</w:t>
            </w:r>
          </w:p>
          <w:p w14:paraId="287568A2">
            <w:pPr>
              <w:numPr>
                <w:ilvl w:val="0"/>
                <w:numId w:val="0"/>
              </w:numPr>
              <w:ind w:firstLine="380" w:firstLineChars="200"/>
              <w:jc w:val="left"/>
              <w:rPr>
                <w:rFonts w:hint="eastAsia" w:ascii="宋体" w:hAnsi="宋体" w:cs="宋体"/>
                <w:spacing w:val="-10"/>
                <w:szCs w:val="21"/>
              </w:rPr>
            </w:pPr>
            <w:r>
              <w:rPr>
                <w:rFonts w:hint="eastAsia" w:ascii="宋体" w:hAnsi="宋体" w:cs="宋体"/>
                <w:spacing w:val="-10"/>
                <w:szCs w:val="21"/>
              </w:rPr>
              <w:t>无形资产在后续计量时，会计与税法的差异主要产生于是否需要摊销、摊销方法和年限的差异及无形资产减值准备的提取。</w:t>
            </w:r>
          </w:p>
          <w:p w14:paraId="1FB16EA2">
            <w:pPr>
              <w:numPr>
                <w:ilvl w:val="0"/>
                <w:numId w:val="0"/>
              </w:numPr>
              <w:ind w:firstLine="380" w:firstLineChars="200"/>
              <w:jc w:val="left"/>
              <w:rPr>
                <w:rFonts w:hint="eastAsia" w:ascii="宋体" w:hAnsi="宋体" w:cs="宋体"/>
                <w:spacing w:val="-10"/>
                <w:szCs w:val="21"/>
              </w:rPr>
            </w:pPr>
            <w:r>
              <w:rPr>
                <w:rFonts w:hint="eastAsia" w:ascii="宋体" w:hAnsi="宋体" w:cs="宋体"/>
                <w:spacing w:val="-10"/>
                <w:szCs w:val="21"/>
              </w:rPr>
              <w:t>会计准则规定，企业应根据无形资产的使用寿命情况，区分为使用寿命有限的无形资产与使用寿命不确定的无形资产。对于使用寿命不确定的无形资产，不要求摊销，但持有期间每年应进行减值测试。税法规定，企业取得的无形资产成本(外购商誉除外)</w:t>
            </w:r>
            <w:r>
              <w:rPr>
                <w:rFonts w:hint="eastAsia" w:ascii="宋体" w:hAnsi="宋体" w:cs="宋体"/>
                <w:spacing w:val="-10"/>
                <w:szCs w:val="21"/>
                <w:lang w:eastAsia="zh-CN"/>
              </w:rPr>
              <w:t>，</w:t>
            </w:r>
            <w:r>
              <w:rPr>
                <w:rFonts w:hint="eastAsia" w:ascii="宋体" w:hAnsi="宋体" w:cs="宋体"/>
                <w:spacing w:val="-10"/>
                <w:szCs w:val="21"/>
              </w:rPr>
              <w:t>应在一定期限内摊销。对于使用寿命不确定的无形资产，会计处理时不予摊销，但计税时按照税法规定确定的摊销额允许税前扣除，造成该类无形资产账面价值与计税基础的差异。</w:t>
            </w:r>
          </w:p>
          <w:p w14:paraId="28E78EF3">
            <w:pPr>
              <w:numPr>
                <w:ilvl w:val="0"/>
                <w:numId w:val="0"/>
              </w:numPr>
              <w:ind w:firstLine="380" w:firstLineChars="200"/>
              <w:jc w:val="left"/>
              <w:rPr>
                <w:rFonts w:hint="eastAsia" w:ascii="宋体" w:hAnsi="宋体" w:cs="宋体"/>
                <w:spacing w:val="-10"/>
                <w:szCs w:val="21"/>
              </w:rPr>
            </w:pPr>
            <w:r>
              <w:rPr>
                <w:rFonts w:hint="eastAsia" w:ascii="宋体" w:hAnsi="宋体" w:cs="宋体"/>
                <w:spacing w:val="-10"/>
                <w:szCs w:val="21"/>
              </w:rPr>
              <w:t>在对无形资产计提减值准备的情况下，因税法规定计提的无形资产减值准备在转变为实质性损失前不允许税前扣除，即在提取无形资产减值准备的期间，无形资产的计税基础不会随减值准备的提取发生变化，从而造成无形资产的账面价值与计税基础的差异。</w:t>
            </w:r>
          </w:p>
          <w:p w14:paraId="5F951731">
            <w:pPr>
              <w:jc w:val="left"/>
              <w:rPr>
                <w:rFonts w:hint="eastAsia" w:ascii="宋体" w:hAnsi="宋体" w:cs="宋体"/>
                <w:b/>
                <w:bCs/>
                <w:spacing w:val="-10"/>
                <w:szCs w:val="21"/>
              </w:rPr>
            </w:pPr>
            <w:r>
              <w:rPr>
                <w:rFonts w:hint="eastAsia" w:ascii="宋体" w:hAnsi="宋体" w:cs="宋体"/>
                <w:b/>
                <w:bCs/>
                <w:spacing w:val="-10"/>
                <w:szCs w:val="21"/>
              </w:rPr>
              <w:t>【典型案例1</w:t>
            </w:r>
            <w:r>
              <w:rPr>
                <w:rFonts w:hint="eastAsia" w:ascii="宋体" w:hAnsi="宋体" w:cs="宋体"/>
                <w:b/>
                <w:bCs/>
                <w:spacing w:val="-10"/>
                <w:szCs w:val="21"/>
                <w:lang w:val="en-US" w:eastAsia="zh-CN"/>
              </w:rPr>
              <w:t>1</w:t>
            </w:r>
            <w:r>
              <w:rPr>
                <w:rFonts w:hint="eastAsia" w:ascii="宋体" w:hAnsi="宋体" w:cs="宋体"/>
                <w:b/>
                <w:bCs/>
                <w:spacing w:val="-10"/>
                <w:szCs w:val="21"/>
              </w:rPr>
              <w:t>-</w:t>
            </w:r>
            <w:r>
              <w:rPr>
                <w:rFonts w:hint="eastAsia" w:ascii="宋体" w:hAnsi="宋体" w:cs="宋体"/>
                <w:b/>
                <w:bCs/>
                <w:spacing w:val="-10"/>
                <w:szCs w:val="21"/>
                <w:lang w:val="en-US" w:eastAsia="zh-CN"/>
              </w:rPr>
              <w:t>3</w:t>
            </w:r>
            <w:r>
              <w:rPr>
                <w:rFonts w:hint="eastAsia" w:ascii="宋体" w:hAnsi="宋体" w:cs="宋体"/>
                <w:b/>
                <w:bCs/>
                <w:spacing w:val="-10"/>
                <w:szCs w:val="21"/>
              </w:rPr>
              <w:t>】</w:t>
            </w:r>
          </w:p>
          <w:p w14:paraId="6C2B0444">
            <w:pPr>
              <w:numPr>
                <w:ilvl w:val="0"/>
                <w:numId w:val="0"/>
              </w:num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企业于2</w:t>
            </w:r>
            <w:r>
              <w:rPr>
                <w:rFonts w:hint="default" w:ascii="楷体" w:hAnsi="楷体" w:eastAsia="楷体" w:cs="楷体"/>
                <w:spacing w:val="-10"/>
                <w:szCs w:val="21"/>
                <w:lang w:val="en-US" w:eastAsia="zh-CN"/>
              </w:rPr>
              <w:t>×</w:t>
            </w:r>
            <w:r>
              <w:rPr>
                <w:rFonts w:hint="eastAsia" w:ascii="楷体" w:hAnsi="楷体" w:eastAsia="楷体" w:cs="楷体"/>
                <w:spacing w:val="-10"/>
                <w:szCs w:val="21"/>
                <w:lang w:val="en-US" w:eastAsia="zh-CN"/>
              </w:rPr>
              <w:t>25年1月取得一项无形资产，成本为100万元，税法和会计上都采用年限平均法进行摊销，摊销期10年。2</w:t>
            </w:r>
            <w:r>
              <w:rPr>
                <w:rFonts w:hint="default" w:ascii="楷体" w:hAnsi="楷体" w:eastAsia="楷体" w:cs="楷体"/>
                <w:spacing w:val="-10"/>
                <w:szCs w:val="21"/>
                <w:lang w:val="en-US" w:eastAsia="zh-CN"/>
              </w:rPr>
              <w:t>×</w:t>
            </w:r>
            <w:r>
              <w:rPr>
                <w:rFonts w:hint="eastAsia" w:ascii="楷体" w:hAnsi="楷体" w:eastAsia="楷体" w:cs="楷体"/>
                <w:spacing w:val="-10"/>
                <w:szCs w:val="21"/>
                <w:lang w:val="en-US" w:eastAsia="zh-CN"/>
              </w:rPr>
              <w:t>25年底经减值测试计提20万元减值损失。</w:t>
            </w:r>
          </w:p>
          <w:p w14:paraId="12AFA63E">
            <w:pPr>
              <w:numPr>
                <w:ilvl w:val="0"/>
                <w:numId w:val="0"/>
              </w:numPr>
              <w:ind w:firstLine="380" w:firstLineChars="200"/>
              <w:jc w:val="left"/>
              <w:rPr>
                <w:rFonts w:hint="default" w:ascii="楷体" w:hAnsi="楷体" w:eastAsia="楷体" w:cs="楷体"/>
                <w:spacing w:val="-10"/>
                <w:szCs w:val="21"/>
                <w:lang w:val="en-US" w:eastAsia="zh-CN"/>
              </w:rPr>
            </w:pPr>
            <w:r>
              <w:rPr>
                <w:rFonts w:hint="eastAsia" w:ascii="楷体" w:hAnsi="楷体" w:eastAsia="楷体" w:cs="楷体"/>
                <w:spacing w:val="-10"/>
                <w:szCs w:val="21"/>
                <w:lang w:val="en-US" w:eastAsia="zh-CN"/>
              </w:rPr>
              <w:t>要求：分析A公司该项无形资2×25年账面价值与计税基础。</w:t>
            </w:r>
          </w:p>
          <w:p w14:paraId="1BC6E9F3">
            <w:pPr>
              <w:jc w:val="left"/>
              <w:rPr>
                <w:rFonts w:hint="eastAsia" w:ascii="宋体" w:hAnsi="宋体" w:cs="宋体"/>
                <w:b/>
                <w:bCs/>
                <w:spacing w:val="-10"/>
                <w:szCs w:val="21"/>
              </w:rPr>
            </w:pPr>
            <w:r>
              <w:rPr>
                <w:rFonts w:hint="eastAsia" w:ascii="宋体" w:hAnsi="宋体" w:cs="宋体"/>
                <w:b/>
                <w:bCs/>
                <w:spacing w:val="-10"/>
                <w:szCs w:val="21"/>
              </w:rPr>
              <w:t>【典型案例1</w:t>
            </w:r>
            <w:r>
              <w:rPr>
                <w:rFonts w:hint="eastAsia" w:ascii="宋体" w:hAnsi="宋体" w:cs="宋体"/>
                <w:b/>
                <w:bCs/>
                <w:spacing w:val="-10"/>
                <w:szCs w:val="21"/>
                <w:lang w:val="en-US" w:eastAsia="zh-CN"/>
              </w:rPr>
              <w:t>1</w:t>
            </w:r>
            <w:r>
              <w:rPr>
                <w:rFonts w:hint="eastAsia" w:ascii="宋体" w:hAnsi="宋体" w:cs="宋体"/>
                <w:b/>
                <w:bCs/>
                <w:spacing w:val="-10"/>
                <w:szCs w:val="21"/>
              </w:rPr>
              <w:t>-</w:t>
            </w:r>
            <w:r>
              <w:rPr>
                <w:rFonts w:hint="eastAsia" w:ascii="宋体" w:hAnsi="宋体" w:cs="宋体"/>
                <w:b/>
                <w:bCs/>
                <w:spacing w:val="-10"/>
                <w:szCs w:val="21"/>
                <w:lang w:val="en-US" w:eastAsia="zh-CN"/>
              </w:rPr>
              <w:t>3解析</w:t>
            </w:r>
            <w:r>
              <w:rPr>
                <w:rFonts w:hint="eastAsia" w:ascii="宋体" w:hAnsi="宋体" w:cs="宋体"/>
                <w:b/>
                <w:bCs/>
                <w:spacing w:val="-10"/>
                <w:szCs w:val="21"/>
              </w:rPr>
              <w:t>】</w:t>
            </w:r>
          </w:p>
          <w:p w14:paraId="5B29F8F0">
            <w:pPr>
              <w:numPr>
                <w:ilvl w:val="0"/>
                <w:numId w:val="0"/>
              </w:numPr>
              <w:ind w:firstLine="380" w:firstLineChars="200"/>
              <w:jc w:val="left"/>
              <w:rPr>
                <w:rFonts w:hint="eastAsia" w:ascii="宋体" w:hAnsi="宋体" w:cs="宋体"/>
                <w:spacing w:val="-10"/>
                <w:szCs w:val="21"/>
              </w:rPr>
            </w:pPr>
            <w:r>
              <w:rPr>
                <w:rFonts w:hint="eastAsia" w:ascii="楷体" w:hAnsi="楷体" w:eastAsia="楷体" w:cs="楷体"/>
                <w:spacing w:val="-10"/>
                <w:szCs w:val="21"/>
                <w:lang w:val="en-US" w:eastAsia="zh-CN"/>
              </w:rPr>
              <w:t>2</w:t>
            </w:r>
            <w:r>
              <w:rPr>
                <w:rFonts w:hint="default" w:ascii="楷体" w:hAnsi="楷体" w:eastAsia="楷体" w:cs="楷体"/>
                <w:spacing w:val="-10"/>
                <w:szCs w:val="21"/>
                <w:lang w:val="en-US" w:eastAsia="zh-CN"/>
              </w:rPr>
              <w:t>×</w:t>
            </w:r>
            <w:r>
              <w:rPr>
                <w:rFonts w:hint="eastAsia" w:ascii="楷体" w:hAnsi="楷体" w:eastAsia="楷体" w:cs="楷体"/>
                <w:spacing w:val="-10"/>
                <w:szCs w:val="21"/>
                <w:lang w:val="en-US" w:eastAsia="zh-CN"/>
              </w:rPr>
              <w:t>25年末，无形资产账面价值为70万元，但计税基础为90万元。</w:t>
            </w:r>
          </w:p>
          <w:p w14:paraId="6B34CACB">
            <w:pPr>
              <w:numPr>
                <w:ilvl w:val="0"/>
                <w:numId w:val="0"/>
              </w:numPr>
              <w:ind w:firstLine="382" w:firstLineChars="200"/>
              <w:jc w:val="left"/>
              <w:rPr>
                <w:rFonts w:hint="eastAsia" w:ascii="宋体" w:hAnsi="宋体" w:cs="宋体"/>
                <w:b/>
                <w:bCs/>
                <w:spacing w:val="-10"/>
                <w:szCs w:val="21"/>
                <w:lang w:eastAsia="zh-CN"/>
              </w:rPr>
            </w:pPr>
            <w:r>
              <w:rPr>
                <w:rFonts w:hint="eastAsia" w:ascii="宋体" w:hAnsi="宋体" w:cs="宋体"/>
                <w:b/>
                <w:bCs/>
                <w:spacing w:val="-10"/>
                <w:szCs w:val="21"/>
                <w:lang w:eastAsia="zh-CN"/>
              </w:rPr>
              <w:t>（</w:t>
            </w:r>
            <w:r>
              <w:rPr>
                <w:rFonts w:hint="eastAsia" w:ascii="宋体" w:hAnsi="宋体" w:cs="宋体"/>
                <w:b/>
                <w:bCs/>
                <w:spacing w:val="-10"/>
                <w:szCs w:val="21"/>
                <w:lang w:val="en-US" w:eastAsia="zh-CN"/>
              </w:rPr>
              <w:t>三</w:t>
            </w:r>
            <w:r>
              <w:rPr>
                <w:rFonts w:hint="eastAsia" w:ascii="宋体" w:hAnsi="宋体" w:cs="宋体"/>
                <w:b/>
                <w:bCs/>
                <w:spacing w:val="-10"/>
                <w:szCs w:val="21"/>
                <w:lang w:eastAsia="zh-CN"/>
              </w:rPr>
              <w:t>）以公允价值计量且其变动计入当期损益的金融资产</w:t>
            </w:r>
          </w:p>
          <w:p w14:paraId="05D9B29D">
            <w:pPr>
              <w:numPr>
                <w:ilvl w:val="0"/>
                <w:numId w:val="0"/>
              </w:numPr>
              <w:ind w:firstLine="380" w:firstLineChars="200"/>
              <w:jc w:val="left"/>
              <w:rPr>
                <w:rFonts w:hint="eastAsia" w:ascii="宋体" w:hAnsi="宋体" w:cs="宋体"/>
                <w:spacing w:val="-10"/>
                <w:szCs w:val="21"/>
                <w:lang w:eastAsia="zh-CN"/>
              </w:rPr>
            </w:pPr>
            <w:r>
              <w:rPr>
                <w:rFonts w:hint="eastAsia" w:ascii="宋体" w:hAnsi="宋体" w:cs="宋体"/>
                <w:spacing w:val="-10"/>
                <w:szCs w:val="21"/>
                <w:lang w:eastAsia="zh-CN"/>
              </w:rPr>
              <w:t>按照《企业会计准则第22号——金融工具确认和计量》的规定，以公允价值计量且其变动计入当期损益的金融资产于某一会计期末的账面价值为其公允价值。税法规定，企业以公允价值计量的金融资产、金融负债以及投资性房地产等，持有期间公允价值的变动不计入应纳税所得额，在实际处置或结算时，处置取得的价款扣除其历史成本后的差额应计入处置或结算期间的应纳税所得额。按照该规定，以公允价值计量的金融资产在持有期间市价的波动在计税时不予考虑，有关金融资产在某一会计期末的计税基础为其取得成本，从而造成在公允价值变动的情况下，对以公允价值计量的金融资产账面价值与计税基础之间的差异。</w:t>
            </w:r>
          </w:p>
          <w:p w14:paraId="292CDCDF">
            <w:pPr>
              <w:numPr>
                <w:ilvl w:val="0"/>
                <w:numId w:val="0"/>
              </w:numPr>
              <w:ind w:firstLine="380" w:firstLineChars="200"/>
              <w:jc w:val="left"/>
              <w:rPr>
                <w:rFonts w:hint="eastAsia" w:ascii="宋体" w:hAnsi="宋体" w:cs="宋体"/>
                <w:spacing w:val="-10"/>
                <w:szCs w:val="21"/>
                <w:lang w:eastAsia="zh-CN"/>
              </w:rPr>
            </w:pPr>
            <w:r>
              <w:rPr>
                <w:rFonts w:hint="eastAsia" w:ascii="宋体" w:hAnsi="宋体" w:cs="宋体"/>
                <w:spacing w:val="-10"/>
                <w:szCs w:val="21"/>
                <w:lang w:eastAsia="zh-CN"/>
              </w:rPr>
              <w:t>企业持有的以公允价值计量且其变动计入其他综合收益的金融资产，其计税基础的确定，与以公允价值计量且其变动计入当期损益的金融资产类似，可比照处理。</w:t>
            </w:r>
          </w:p>
          <w:p w14:paraId="07C397DE">
            <w:pPr>
              <w:jc w:val="left"/>
              <w:rPr>
                <w:rFonts w:hint="eastAsia" w:ascii="宋体" w:hAnsi="宋体" w:cs="宋体"/>
                <w:b/>
                <w:bCs/>
                <w:spacing w:val="-10"/>
                <w:szCs w:val="21"/>
              </w:rPr>
            </w:pPr>
            <w:r>
              <w:rPr>
                <w:rFonts w:hint="eastAsia" w:ascii="宋体" w:hAnsi="宋体" w:cs="宋体"/>
                <w:b/>
                <w:bCs/>
                <w:spacing w:val="-10"/>
                <w:szCs w:val="21"/>
              </w:rPr>
              <w:t>【典型案例1</w:t>
            </w:r>
            <w:r>
              <w:rPr>
                <w:rFonts w:hint="eastAsia" w:ascii="宋体" w:hAnsi="宋体" w:cs="宋体"/>
                <w:b/>
                <w:bCs/>
                <w:spacing w:val="-10"/>
                <w:szCs w:val="21"/>
                <w:lang w:val="en-US" w:eastAsia="zh-CN"/>
              </w:rPr>
              <w:t>1</w:t>
            </w:r>
            <w:r>
              <w:rPr>
                <w:rFonts w:hint="eastAsia" w:ascii="宋体" w:hAnsi="宋体" w:cs="宋体"/>
                <w:b/>
                <w:bCs/>
                <w:spacing w:val="-10"/>
                <w:szCs w:val="21"/>
              </w:rPr>
              <w:t>-</w:t>
            </w:r>
            <w:r>
              <w:rPr>
                <w:rFonts w:hint="eastAsia" w:ascii="宋体" w:hAnsi="宋体" w:cs="宋体"/>
                <w:b/>
                <w:bCs/>
                <w:spacing w:val="-10"/>
                <w:szCs w:val="21"/>
                <w:lang w:val="en-US" w:eastAsia="zh-CN"/>
              </w:rPr>
              <w:t>4</w:t>
            </w:r>
            <w:r>
              <w:rPr>
                <w:rFonts w:hint="eastAsia" w:ascii="宋体" w:hAnsi="宋体" w:cs="宋体"/>
                <w:b/>
                <w:bCs/>
                <w:spacing w:val="-10"/>
                <w:szCs w:val="21"/>
              </w:rPr>
              <w:t>】</w:t>
            </w:r>
          </w:p>
          <w:p w14:paraId="023B2EEA">
            <w:pPr>
              <w:numPr>
                <w:ilvl w:val="0"/>
                <w:numId w:val="0"/>
              </w:numPr>
              <w:ind w:firstLine="380" w:firstLineChars="200"/>
              <w:jc w:val="left"/>
              <w:rPr>
                <w:rFonts w:hint="eastAsia" w:ascii="宋体" w:hAnsi="宋体" w:cs="宋体"/>
                <w:spacing w:val="-10"/>
                <w:szCs w:val="21"/>
                <w:lang w:val="en-US" w:eastAsia="zh-CN"/>
              </w:rPr>
            </w:pPr>
            <w:r>
              <w:rPr>
                <w:rFonts w:hint="eastAsia" w:ascii="楷体" w:hAnsi="楷体" w:eastAsia="楷体" w:cs="楷体"/>
                <w:spacing w:val="-10"/>
                <w:szCs w:val="21"/>
                <w:lang w:val="en-US" w:eastAsia="zh-CN"/>
              </w:rPr>
              <w:t>2×25年10月20日，甲公司自公开市场取得一项权益性投资，支付价款2000万元，作为交易性金融资产核算。2×25年12月31日，该投资的市价为2200万元。</w:t>
            </w:r>
          </w:p>
          <w:p w14:paraId="61BC054C">
            <w:pPr>
              <w:numPr>
                <w:ilvl w:val="0"/>
                <w:numId w:val="0"/>
              </w:num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要求：分析A公司该项交易性金融资产2×25年账面价值与计税基础。</w:t>
            </w:r>
          </w:p>
          <w:p w14:paraId="78467212">
            <w:pPr>
              <w:jc w:val="left"/>
              <w:rPr>
                <w:rFonts w:hint="eastAsia" w:ascii="宋体" w:hAnsi="宋体" w:cs="宋体"/>
                <w:b/>
                <w:bCs/>
                <w:spacing w:val="-10"/>
                <w:szCs w:val="21"/>
              </w:rPr>
            </w:pPr>
            <w:r>
              <w:rPr>
                <w:rFonts w:hint="eastAsia" w:ascii="宋体" w:hAnsi="宋体" w:cs="宋体"/>
                <w:b/>
                <w:bCs/>
                <w:spacing w:val="-10"/>
                <w:szCs w:val="21"/>
              </w:rPr>
              <w:t>【典型案例1</w:t>
            </w:r>
            <w:r>
              <w:rPr>
                <w:rFonts w:hint="eastAsia" w:ascii="宋体" w:hAnsi="宋体" w:cs="宋体"/>
                <w:b/>
                <w:bCs/>
                <w:spacing w:val="-10"/>
                <w:szCs w:val="21"/>
                <w:lang w:val="en-US" w:eastAsia="zh-CN"/>
              </w:rPr>
              <w:t>1</w:t>
            </w:r>
            <w:r>
              <w:rPr>
                <w:rFonts w:hint="eastAsia" w:ascii="宋体" w:hAnsi="宋体" w:cs="宋体"/>
                <w:b/>
                <w:bCs/>
                <w:spacing w:val="-10"/>
                <w:szCs w:val="21"/>
              </w:rPr>
              <w:t>-</w:t>
            </w:r>
            <w:r>
              <w:rPr>
                <w:rFonts w:hint="eastAsia" w:ascii="宋体" w:hAnsi="宋体" w:cs="宋体"/>
                <w:b/>
                <w:bCs/>
                <w:spacing w:val="-10"/>
                <w:szCs w:val="21"/>
                <w:lang w:val="en-US" w:eastAsia="zh-CN"/>
              </w:rPr>
              <w:t>4解析</w:t>
            </w:r>
            <w:r>
              <w:rPr>
                <w:rFonts w:hint="eastAsia" w:ascii="宋体" w:hAnsi="宋体" w:cs="宋体"/>
                <w:b/>
                <w:bCs/>
                <w:spacing w:val="-10"/>
                <w:szCs w:val="21"/>
              </w:rPr>
              <w:t>】</w:t>
            </w:r>
          </w:p>
          <w:p w14:paraId="5F65A00A">
            <w:pPr>
              <w:numPr>
                <w:ilvl w:val="0"/>
                <w:numId w:val="0"/>
              </w:num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该项交易性金融资产的期末市价为2200万元，其按照会计准则规定进行核算，在2×25年资产负债表日的账面价值为2200万元。</w:t>
            </w:r>
          </w:p>
          <w:p w14:paraId="570B6A15">
            <w:pPr>
              <w:numPr>
                <w:ilvl w:val="0"/>
                <w:numId w:val="0"/>
              </w:num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因税法规定以公允价值计量的金融资产在持有期间公允价值的变动不计入应纳税所得额，其在2×25年资产负债表日的计税基础应维持原取得成本不变，为2000万元。</w:t>
            </w:r>
          </w:p>
          <w:p w14:paraId="6BD5269B">
            <w:pPr>
              <w:numPr>
                <w:ilvl w:val="0"/>
                <w:numId w:val="0"/>
              </w:num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该交易性金融资产的账面价值2200万元与其计税基础2000万元之间产生了200万元的暂时性差异，该暂时性差异在未来期间转回时会增加未来期间的应纳税所得额。</w:t>
            </w:r>
          </w:p>
          <w:p w14:paraId="3BA9972E">
            <w:pPr>
              <w:jc w:val="left"/>
              <w:outlineLvl w:val="2"/>
              <w:rPr>
                <w:rFonts w:hint="eastAsia" w:ascii="宋体" w:hAnsi="宋体" w:cs="宋体"/>
                <w:b/>
                <w:bCs/>
                <w:spacing w:val="-10"/>
                <w:szCs w:val="21"/>
              </w:rPr>
            </w:pPr>
            <w:bookmarkStart w:id="6" w:name="_Toc22058"/>
            <w:r>
              <w:rPr>
                <w:rFonts w:hint="eastAsia" w:ascii="宋体" w:hAnsi="宋体" w:cs="宋体"/>
                <w:b/>
                <w:bCs/>
                <w:spacing w:val="-10"/>
                <w:szCs w:val="21"/>
                <w:lang w:val="en-US" w:eastAsia="zh-CN"/>
              </w:rPr>
              <w:t>二、</w:t>
            </w:r>
            <w:r>
              <w:rPr>
                <w:rFonts w:hint="eastAsia" w:ascii="宋体" w:hAnsi="宋体" w:cs="宋体"/>
                <w:b/>
                <w:bCs/>
                <w:spacing w:val="-10"/>
                <w:szCs w:val="21"/>
              </w:rPr>
              <w:t>负债的计税基础</w:t>
            </w:r>
            <w:bookmarkEnd w:id="6"/>
          </w:p>
          <w:p w14:paraId="070C74B0">
            <w:pPr>
              <w:ind w:firstLine="380" w:firstLineChars="200"/>
              <w:jc w:val="left"/>
              <w:rPr>
                <w:rFonts w:hint="eastAsia" w:ascii="宋体" w:hAnsi="宋体" w:cs="宋体"/>
                <w:spacing w:val="-10"/>
                <w:szCs w:val="21"/>
              </w:rPr>
            </w:pPr>
            <w:r>
              <w:rPr>
                <w:rFonts w:hint="eastAsia" w:ascii="宋体" w:hAnsi="宋体" w:cs="宋体"/>
                <w:spacing w:val="-10"/>
                <w:szCs w:val="21"/>
              </w:rPr>
              <w:t>负债的计税基础，是指负债的账面价值减去未来期间计算应纳税所得额时按照税法规定可予抵扣的金额。对于预收收入，所产生负债的计税基础是其账面价值减去未来期间非应税收入的金额。用公式表示为：</w:t>
            </w:r>
          </w:p>
          <w:p w14:paraId="2A45D11B">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负债的计税基础=账面价值-未来期间按照税法规定可予税前扣除的金额(或未来期间非应税收入的金额)</w:t>
            </w:r>
          </w:p>
          <w:p w14:paraId="1D5E0C7A">
            <w:pPr>
              <w:ind w:firstLine="380" w:firstLineChars="200"/>
              <w:jc w:val="left"/>
              <w:rPr>
                <w:rFonts w:hint="eastAsia" w:ascii="宋体" w:hAnsi="宋体" w:cs="宋体"/>
                <w:spacing w:val="-10"/>
                <w:szCs w:val="21"/>
              </w:rPr>
            </w:pPr>
            <w:r>
              <w:rPr>
                <w:rFonts w:hint="eastAsia" w:ascii="宋体" w:hAnsi="宋体" w:cs="宋体"/>
                <w:spacing w:val="-10"/>
                <w:szCs w:val="21"/>
              </w:rPr>
              <w:t>负债的确认与偿还一般不会影响企业的损益，也不会影响其应纳税所得额，未来期间计算应纳税所得额时按照税法规定可予抵扣的金额为0</w:t>
            </w:r>
            <w:r>
              <w:rPr>
                <w:rFonts w:hint="eastAsia" w:ascii="宋体" w:hAnsi="宋体" w:cs="宋体"/>
                <w:spacing w:val="-10"/>
                <w:szCs w:val="21"/>
                <w:lang w:eastAsia="zh-CN"/>
              </w:rPr>
              <w:t>，</w:t>
            </w:r>
            <w:r>
              <w:rPr>
                <w:rFonts w:hint="eastAsia" w:ascii="宋体" w:hAnsi="宋体" w:cs="宋体"/>
                <w:spacing w:val="-10"/>
                <w:szCs w:val="21"/>
              </w:rPr>
              <w:t>计税基础即为账面价值。但是，某些情况下，负债的确认可能会影响企业的损益，进而影响不同期间的应纳税所得额，使得其计税基础与账面价值之间产生差额，如按照会计规定确认的某些预计负债。</w:t>
            </w:r>
          </w:p>
          <w:p w14:paraId="1076339F">
            <w:pPr>
              <w:ind w:firstLine="382" w:firstLineChars="200"/>
              <w:jc w:val="left"/>
              <w:rPr>
                <w:rFonts w:hint="eastAsia" w:ascii="宋体" w:hAnsi="宋体" w:cs="宋体"/>
                <w:b/>
                <w:bCs/>
                <w:spacing w:val="-10"/>
                <w:szCs w:val="21"/>
              </w:rPr>
            </w:pPr>
            <w:r>
              <w:rPr>
                <w:rFonts w:hint="eastAsia" w:ascii="宋体" w:hAnsi="宋体" w:cs="宋体"/>
                <w:b/>
                <w:bCs/>
                <w:spacing w:val="-10"/>
                <w:szCs w:val="21"/>
              </w:rPr>
              <w:t>(一)企业因销售商品提供售后服务等原因确认的预计负债</w:t>
            </w:r>
          </w:p>
          <w:p w14:paraId="439871E3">
            <w:pPr>
              <w:ind w:firstLine="380" w:firstLineChars="200"/>
              <w:jc w:val="left"/>
              <w:rPr>
                <w:rFonts w:hint="eastAsia" w:ascii="宋体" w:hAnsi="宋体" w:cs="宋体"/>
                <w:spacing w:val="-10"/>
                <w:szCs w:val="21"/>
              </w:rPr>
            </w:pPr>
            <w:r>
              <w:rPr>
                <w:rFonts w:hint="eastAsia" w:ascii="宋体" w:hAnsi="宋体" w:cs="宋体"/>
                <w:spacing w:val="-10"/>
                <w:szCs w:val="21"/>
              </w:rPr>
              <w:t>按照《企业会计准则第13号——或有事项》的规定，企业对于预计提供售后服务将发生的支出在满足有关确认条件时，销售当期即应确认为相关成本，同时确认预计负债。如果税法规定，与销售产品相关的支出应于实际发生时税前扣除。因该类事项产生的预计负债在期末的计税基础为其账面价值与未来期间可税前扣除的金额之间的差额，即为0。</w:t>
            </w:r>
          </w:p>
          <w:p w14:paraId="78E5C02F">
            <w:pPr>
              <w:ind w:firstLine="380" w:firstLineChars="200"/>
              <w:jc w:val="left"/>
              <w:rPr>
                <w:rFonts w:hint="eastAsia" w:ascii="宋体" w:hAnsi="宋体" w:cs="宋体"/>
                <w:spacing w:val="-10"/>
                <w:szCs w:val="21"/>
              </w:rPr>
            </w:pPr>
            <w:r>
              <w:rPr>
                <w:rFonts w:hint="eastAsia" w:ascii="宋体" w:hAnsi="宋体" w:cs="宋体"/>
                <w:spacing w:val="-10"/>
                <w:szCs w:val="21"/>
              </w:rPr>
              <w:t>其他交易或事项中确认的预计负债，应按照税法规定的计税原则确定其计税基础。某些情况下，因有些事项确认的预计负债，税法规定其支出无论是否实际发生均不允许税前扣除，即未来期间按照税法规定可予抵扣的金额为0</w:t>
            </w:r>
            <w:r>
              <w:rPr>
                <w:rFonts w:hint="eastAsia" w:ascii="宋体" w:hAnsi="宋体" w:cs="宋体"/>
                <w:spacing w:val="-10"/>
                <w:szCs w:val="21"/>
                <w:lang w:eastAsia="zh-CN"/>
              </w:rPr>
              <w:t>，</w:t>
            </w:r>
            <w:r>
              <w:rPr>
                <w:rFonts w:hint="eastAsia" w:ascii="宋体" w:hAnsi="宋体" w:cs="宋体"/>
                <w:spacing w:val="-10"/>
                <w:szCs w:val="21"/>
              </w:rPr>
              <w:t>账面价值等于计税基础。</w:t>
            </w:r>
          </w:p>
          <w:p w14:paraId="64D8ED9E">
            <w:pPr>
              <w:jc w:val="left"/>
              <w:rPr>
                <w:rFonts w:hint="eastAsia" w:ascii="宋体" w:hAnsi="宋体" w:cs="宋体"/>
                <w:b/>
                <w:bCs/>
                <w:spacing w:val="-10"/>
                <w:szCs w:val="21"/>
              </w:rPr>
            </w:pPr>
            <w:r>
              <w:rPr>
                <w:rFonts w:hint="eastAsia" w:ascii="宋体" w:hAnsi="宋体" w:cs="宋体"/>
                <w:b/>
                <w:bCs/>
                <w:spacing w:val="-10"/>
                <w:szCs w:val="21"/>
              </w:rPr>
              <w:t>【典型案例1</w:t>
            </w:r>
            <w:r>
              <w:rPr>
                <w:rFonts w:hint="eastAsia" w:ascii="宋体" w:hAnsi="宋体" w:cs="宋体"/>
                <w:b/>
                <w:bCs/>
                <w:spacing w:val="-10"/>
                <w:szCs w:val="21"/>
                <w:lang w:val="en-US" w:eastAsia="zh-CN"/>
              </w:rPr>
              <w:t>1</w:t>
            </w:r>
            <w:r>
              <w:rPr>
                <w:rFonts w:hint="eastAsia" w:ascii="宋体" w:hAnsi="宋体" w:cs="宋体"/>
                <w:b/>
                <w:bCs/>
                <w:spacing w:val="-10"/>
                <w:szCs w:val="21"/>
              </w:rPr>
              <w:t>-</w:t>
            </w:r>
            <w:r>
              <w:rPr>
                <w:rFonts w:hint="eastAsia" w:ascii="宋体" w:hAnsi="宋体" w:cs="宋体"/>
                <w:b/>
                <w:bCs/>
                <w:spacing w:val="-10"/>
                <w:szCs w:val="21"/>
                <w:lang w:val="en-US" w:eastAsia="zh-CN"/>
              </w:rPr>
              <w:t>5</w:t>
            </w:r>
            <w:r>
              <w:rPr>
                <w:rFonts w:hint="eastAsia" w:ascii="宋体" w:hAnsi="宋体" w:cs="宋体"/>
                <w:b/>
                <w:bCs/>
                <w:spacing w:val="-10"/>
                <w:szCs w:val="21"/>
              </w:rPr>
              <w:t>】</w:t>
            </w:r>
          </w:p>
          <w:p w14:paraId="17A52E06">
            <w:pPr>
              <w:numPr>
                <w:ilvl w:val="0"/>
                <w:numId w:val="0"/>
              </w:num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甲公司2</w:t>
            </w:r>
            <w:r>
              <w:rPr>
                <w:rFonts w:hint="default" w:ascii="楷体" w:hAnsi="楷体" w:eastAsia="楷体" w:cs="楷体"/>
                <w:spacing w:val="-10"/>
                <w:szCs w:val="21"/>
                <w:lang w:val="en-US" w:eastAsia="zh-CN"/>
              </w:rPr>
              <w:t>×</w:t>
            </w:r>
            <w:r>
              <w:rPr>
                <w:rFonts w:hint="eastAsia" w:ascii="楷体" w:hAnsi="楷体" w:eastAsia="楷体" w:cs="楷体"/>
                <w:spacing w:val="-10"/>
                <w:szCs w:val="21"/>
                <w:lang w:val="en-US" w:eastAsia="zh-CN"/>
              </w:rPr>
              <w:t>23年因销售产品承诺提供3年的保修服务，在当年年度利润表中确认了8000000元营业成本，同时确认为预计负债，当年度发生保修支出2000000元，预计负债的期末余额为6000000元。假定税法规定，与产品售后服务相关的费用可以在实际发生时税前扣除。</w:t>
            </w:r>
          </w:p>
          <w:p w14:paraId="625D29A9">
            <w:pPr>
              <w:numPr>
                <w:ilvl w:val="0"/>
                <w:numId w:val="0"/>
              </w:num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要求：分析甲公司该项预计负债2×23年账面价值与计税基础。</w:t>
            </w:r>
          </w:p>
          <w:p w14:paraId="103C0726">
            <w:pPr>
              <w:jc w:val="left"/>
              <w:rPr>
                <w:rFonts w:hint="eastAsia" w:ascii="宋体" w:hAnsi="宋体" w:cs="宋体"/>
                <w:b/>
                <w:bCs/>
                <w:spacing w:val="-10"/>
                <w:szCs w:val="21"/>
              </w:rPr>
            </w:pPr>
            <w:r>
              <w:rPr>
                <w:rFonts w:hint="eastAsia" w:ascii="宋体" w:hAnsi="宋体" w:cs="宋体"/>
                <w:b/>
                <w:bCs/>
                <w:spacing w:val="-10"/>
                <w:szCs w:val="21"/>
              </w:rPr>
              <w:t>【典型案例1</w:t>
            </w:r>
            <w:r>
              <w:rPr>
                <w:rFonts w:hint="eastAsia" w:ascii="宋体" w:hAnsi="宋体" w:cs="宋体"/>
                <w:b/>
                <w:bCs/>
                <w:spacing w:val="-10"/>
                <w:szCs w:val="21"/>
                <w:lang w:val="en-US" w:eastAsia="zh-CN"/>
              </w:rPr>
              <w:t>1</w:t>
            </w:r>
            <w:r>
              <w:rPr>
                <w:rFonts w:hint="eastAsia" w:ascii="宋体" w:hAnsi="宋体" w:cs="宋体"/>
                <w:b/>
                <w:bCs/>
                <w:spacing w:val="-10"/>
                <w:szCs w:val="21"/>
              </w:rPr>
              <w:t>-</w:t>
            </w:r>
            <w:r>
              <w:rPr>
                <w:rFonts w:hint="eastAsia" w:ascii="宋体" w:hAnsi="宋体" w:cs="宋体"/>
                <w:b/>
                <w:bCs/>
                <w:spacing w:val="-10"/>
                <w:szCs w:val="21"/>
                <w:lang w:val="en-US" w:eastAsia="zh-CN"/>
              </w:rPr>
              <w:t>5解析</w:t>
            </w:r>
            <w:r>
              <w:rPr>
                <w:rFonts w:hint="eastAsia" w:ascii="宋体" w:hAnsi="宋体" w:cs="宋体"/>
                <w:b/>
                <w:bCs/>
                <w:spacing w:val="-10"/>
                <w:szCs w:val="21"/>
              </w:rPr>
              <w:t>】</w:t>
            </w:r>
          </w:p>
          <w:p w14:paraId="4836FB55">
            <w:pPr>
              <w:numPr>
                <w:ilvl w:val="0"/>
                <w:numId w:val="0"/>
              </w:num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该项预计负债在甲公司2</w:t>
            </w:r>
            <w:r>
              <w:rPr>
                <w:rFonts w:hint="default" w:ascii="楷体" w:hAnsi="楷体" w:eastAsia="楷体" w:cs="楷体"/>
                <w:spacing w:val="-10"/>
                <w:szCs w:val="21"/>
                <w:lang w:val="en-US" w:eastAsia="zh-CN"/>
              </w:rPr>
              <w:t>×</w:t>
            </w:r>
            <w:r>
              <w:rPr>
                <w:rFonts w:hint="eastAsia" w:ascii="楷体" w:hAnsi="楷体" w:eastAsia="楷体" w:cs="楷体"/>
                <w:spacing w:val="-10"/>
                <w:szCs w:val="21"/>
                <w:lang w:val="en-US" w:eastAsia="zh-CN"/>
              </w:rPr>
              <w:t>23年12月31日的账面价值为6000000元。</w:t>
            </w:r>
          </w:p>
          <w:p w14:paraId="5F0389AE">
            <w:pPr>
              <w:numPr>
                <w:ilvl w:val="0"/>
                <w:numId w:val="0"/>
              </w:numPr>
              <w:ind w:firstLine="380" w:firstLineChars="200"/>
              <w:jc w:val="left"/>
              <w:rPr>
                <w:rFonts w:hint="eastAsia" w:ascii="宋体" w:hAnsi="宋体" w:eastAsia="宋体" w:cs="宋体"/>
                <w:spacing w:val="-10"/>
                <w:szCs w:val="21"/>
                <w:lang w:val="en-US" w:eastAsia="zh-CN"/>
              </w:rPr>
            </w:pPr>
            <w:r>
              <w:rPr>
                <w:rFonts w:hint="eastAsia" w:ascii="楷体" w:hAnsi="楷体" w:eastAsia="楷体" w:cs="楷体"/>
                <w:spacing w:val="-10"/>
                <w:szCs w:val="21"/>
                <w:lang w:val="en-US" w:eastAsia="zh-CN"/>
              </w:rPr>
              <w:t>该项预计负债的计税基础=账面价值-未来期间计算应纳税所得额时按照税法规定可予抵扣的金额=6000000-6000000=0(元)</w:t>
            </w:r>
          </w:p>
          <w:p w14:paraId="0B820DD3">
            <w:pPr>
              <w:ind w:firstLine="382" w:firstLineChars="200"/>
              <w:jc w:val="left"/>
              <w:rPr>
                <w:rFonts w:hint="eastAsia" w:ascii="宋体" w:hAnsi="宋体" w:cs="宋体"/>
                <w:spacing w:val="-10"/>
                <w:szCs w:val="21"/>
              </w:rPr>
            </w:pPr>
            <w:r>
              <w:rPr>
                <w:rFonts w:hint="eastAsia" w:ascii="宋体" w:hAnsi="宋体" w:cs="宋体"/>
                <w:b/>
                <w:bCs/>
                <w:spacing w:val="-10"/>
                <w:szCs w:val="21"/>
              </w:rPr>
              <w:t>(二)合同负债</w:t>
            </w:r>
          </w:p>
          <w:p w14:paraId="66A00BCF">
            <w:pPr>
              <w:ind w:firstLine="380" w:firstLineChars="200"/>
              <w:jc w:val="left"/>
              <w:rPr>
                <w:rFonts w:hint="eastAsia" w:ascii="宋体" w:hAnsi="宋体" w:cs="宋体"/>
                <w:spacing w:val="-10"/>
                <w:szCs w:val="21"/>
              </w:rPr>
            </w:pPr>
            <w:r>
              <w:rPr>
                <w:rFonts w:hint="eastAsia" w:ascii="宋体" w:hAnsi="宋体" w:cs="宋体"/>
                <w:spacing w:val="-10"/>
                <w:szCs w:val="21"/>
              </w:rPr>
              <w:t>企业在收到客户预付的销售商品款项时，因不符合收入确认条件，会计上将其确认为一项负债(合同负债)</w:t>
            </w:r>
            <w:r>
              <w:rPr>
                <w:rFonts w:hint="eastAsia" w:ascii="宋体" w:hAnsi="宋体" w:cs="宋体"/>
                <w:spacing w:val="-10"/>
                <w:szCs w:val="21"/>
                <w:lang w:eastAsia="zh-CN"/>
              </w:rPr>
              <w:t>，</w:t>
            </w:r>
            <w:r>
              <w:rPr>
                <w:rFonts w:hint="eastAsia" w:ascii="宋体" w:hAnsi="宋体" w:cs="宋体"/>
                <w:spacing w:val="-10"/>
                <w:szCs w:val="21"/>
              </w:rPr>
              <w:t>待履行了相关履约义务时再转为收入。税法中对于收入的确认原则一般与会计规定相同，即会计上未确认收入时，计税时一般亦不计入应纳税所得额，该部分经济利益在未来期间计税时可予税前扣除的金额为0</w:t>
            </w:r>
            <w:r>
              <w:rPr>
                <w:rFonts w:hint="eastAsia" w:ascii="宋体" w:hAnsi="宋体" w:cs="宋体"/>
                <w:spacing w:val="-10"/>
                <w:szCs w:val="21"/>
                <w:lang w:eastAsia="zh-CN"/>
              </w:rPr>
              <w:t>，</w:t>
            </w:r>
            <w:r>
              <w:rPr>
                <w:rFonts w:hint="eastAsia" w:ascii="宋体" w:hAnsi="宋体" w:cs="宋体"/>
                <w:spacing w:val="-10"/>
                <w:szCs w:val="21"/>
              </w:rPr>
              <w:t>计税基础等于账面价值。某些情况下，因不符合会计准则规定的收入确认条件，未确认为收入而确认为合同负债的，按照税法规定应计入当期应纳税所得额时，该合同负债的计税基础为0</w:t>
            </w:r>
            <w:r>
              <w:rPr>
                <w:rFonts w:hint="eastAsia" w:ascii="宋体" w:hAnsi="宋体" w:cs="宋体"/>
                <w:spacing w:val="-10"/>
                <w:szCs w:val="21"/>
                <w:lang w:eastAsia="zh-CN"/>
              </w:rPr>
              <w:t>，</w:t>
            </w:r>
            <w:r>
              <w:rPr>
                <w:rFonts w:hint="eastAsia" w:ascii="宋体" w:hAnsi="宋体" w:cs="宋体"/>
                <w:spacing w:val="-10"/>
                <w:szCs w:val="21"/>
              </w:rPr>
              <w:t>即因其产生时已经计算交纳所得税，未来期间可全额税前扣除。</w:t>
            </w:r>
          </w:p>
          <w:p w14:paraId="4E3D946F">
            <w:pPr>
              <w:jc w:val="left"/>
              <w:rPr>
                <w:rFonts w:hint="eastAsia" w:ascii="宋体" w:hAnsi="宋体" w:cs="宋体"/>
                <w:b/>
                <w:bCs/>
                <w:spacing w:val="-10"/>
                <w:szCs w:val="21"/>
              </w:rPr>
            </w:pPr>
            <w:r>
              <w:rPr>
                <w:rFonts w:hint="eastAsia" w:ascii="宋体" w:hAnsi="宋体" w:cs="宋体"/>
                <w:b/>
                <w:bCs/>
                <w:spacing w:val="-10"/>
                <w:szCs w:val="21"/>
              </w:rPr>
              <w:t>【典型案例1</w:t>
            </w:r>
            <w:r>
              <w:rPr>
                <w:rFonts w:hint="eastAsia" w:ascii="宋体" w:hAnsi="宋体" w:cs="宋体"/>
                <w:b/>
                <w:bCs/>
                <w:spacing w:val="-10"/>
                <w:szCs w:val="21"/>
                <w:lang w:val="en-US" w:eastAsia="zh-CN"/>
              </w:rPr>
              <w:t>1</w:t>
            </w:r>
            <w:r>
              <w:rPr>
                <w:rFonts w:hint="eastAsia" w:ascii="宋体" w:hAnsi="宋体" w:cs="宋体"/>
                <w:b/>
                <w:bCs/>
                <w:spacing w:val="-10"/>
                <w:szCs w:val="21"/>
              </w:rPr>
              <w:t>-</w:t>
            </w:r>
            <w:r>
              <w:rPr>
                <w:rFonts w:hint="eastAsia" w:ascii="宋体" w:hAnsi="宋体" w:cs="宋体"/>
                <w:b/>
                <w:bCs/>
                <w:spacing w:val="-10"/>
                <w:szCs w:val="21"/>
                <w:lang w:val="en-US" w:eastAsia="zh-CN"/>
              </w:rPr>
              <w:t>6</w:t>
            </w:r>
            <w:r>
              <w:rPr>
                <w:rFonts w:hint="eastAsia" w:ascii="宋体" w:hAnsi="宋体" w:cs="宋体"/>
                <w:b/>
                <w:bCs/>
                <w:spacing w:val="-10"/>
                <w:szCs w:val="21"/>
              </w:rPr>
              <w:t>】</w:t>
            </w:r>
          </w:p>
          <w:p w14:paraId="231FFFCE">
            <w:pPr>
              <w:numPr>
                <w:ilvl w:val="0"/>
                <w:numId w:val="0"/>
              </w:num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A公司于2</w:t>
            </w:r>
            <w:r>
              <w:rPr>
                <w:rFonts w:hint="default" w:ascii="楷体" w:hAnsi="楷体" w:eastAsia="楷体" w:cs="楷体"/>
                <w:spacing w:val="-10"/>
                <w:szCs w:val="21"/>
                <w:lang w:val="en-US" w:eastAsia="zh-CN"/>
              </w:rPr>
              <w:t>×</w:t>
            </w:r>
            <w:r>
              <w:rPr>
                <w:rFonts w:hint="eastAsia" w:ascii="楷体" w:hAnsi="楷体" w:eastAsia="楷体" w:cs="楷体"/>
                <w:spacing w:val="-10"/>
                <w:szCs w:val="21"/>
                <w:lang w:val="en-US" w:eastAsia="zh-CN"/>
              </w:rPr>
              <w:t>23年12月20日自客户收到一笔合同预付款，金额为2500万元，作为合同负债核算。按照适用税法规定，该款项应计入取得当期应纳税所得额计算交纳所得税。</w:t>
            </w:r>
          </w:p>
          <w:p w14:paraId="69812249">
            <w:pPr>
              <w:numPr>
                <w:ilvl w:val="0"/>
                <w:numId w:val="0"/>
              </w:num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要求：分析A公司该项预计负债2×23年账面价值与计税基础。</w:t>
            </w:r>
          </w:p>
          <w:p w14:paraId="165BAE79">
            <w:pPr>
              <w:jc w:val="left"/>
              <w:rPr>
                <w:rFonts w:hint="eastAsia" w:ascii="宋体" w:hAnsi="宋体" w:cs="宋体"/>
                <w:b/>
                <w:bCs/>
                <w:spacing w:val="-10"/>
                <w:szCs w:val="21"/>
              </w:rPr>
            </w:pPr>
            <w:r>
              <w:rPr>
                <w:rFonts w:hint="eastAsia" w:ascii="宋体" w:hAnsi="宋体" w:cs="宋体"/>
                <w:b/>
                <w:bCs/>
                <w:spacing w:val="-10"/>
                <w:szCs w:val="21"/>
              </w:rPr>
              <w:t>【典型案例1</w:t>
            </w:r>
            <w:r>
              <w:rPr>
                <w:rFonts w:hint="eastAsia" w:ascii="宋体" w:hAnsi="宋体" w:cs="宋体"/>
                <w:b/>
                <w:bCs/>
                <w:spacing w:val="-10"/>
                <w:szCs w:val="21"/>
                <w:lang w:val="en-US" w:eastAsia="zh-CN"/>
              </w:rPr>
              <w:t>1</w:t>
            </w:r>
            <w:r>
              <w:rPr>
                <w:rFonts w:hint="eastAsia" w:ascii="宋体" w:hAnsi="宋体" w:cs="宋体"/>
                <w:b/>
                <w:bCs/>
                <w:spacing w:val="-10"/>
                <w:szCs w:val="21"/>
              </w:rPr>
              <w:t>-</w:t>
            </w:r>
            <w:r>
              <w:rPr>
                <w:rFonts w:hint="eastAsia" w:ascii="宋体" w:hAnsi="宋体" w:cs="宋体"/>
                <w:b/>
                <w:bCs/>
                <w:spacing w:val="-10"/>
                <w:szCs w:val="21"/>
                <w:lang w:val="en-US" w:eastAsia="zh-CN"/>
              </w:rPr>
              <w:t>6解析</w:t>
            </w:r>
            <w:r>
              <w:rPr>
                <w:rFonts w:hint="eastAsia" w:ascii="宋体" w:hAnsi="宋体" w:cs="宋体"/>
                <w:b/>
                <w:bCs/>
                <w:spacing w:val="-10"/>
                <w:szCs w:val="21"/>
              </w:rPr>
              <w:t>】</w:t>
            </w:r>
          </w:p>
          <w:p w14:paraId="24402AD3">
            <w:pPr>
              <w:numPr>
                <w:ilvl w:val="0"/>
                <w:numId w:val="0"/>
              </w:num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该合同负债在A公司2</w:t>
            </w:r>
            <w:r>
              <w:rPr>
                <w:rFonts w:hint="default" w:ascii="楷体" w:hAnsi="楷体" w:eastAsia="楷体" w:cs="楷体"/>
                <w:spacing w:val="-10"/>
                <w:szCs w:val="21"/>
                <w:lang w:val="en-US" w:eastAsia="zh-CN"/>
              </w:rPr>
              <w:t>×</w:t>
            </w:r>
            <w:r>
              <w:rPr>
                <w:rFonts w:hint="eastAsia" w:ascii="楷体" w:hAnsi="楷体" w:eastAsia="楷体" w:cs="楷体"/>
                <w:spacing w:val="-10"/>
                <w:szCs w:val="21"/>
                <w:lang w:val="en-US" w:eastAsia="zh-CN"/>
              </w:rPr>
              <w:t>23年12月31日资产负债表中的账面价值为2500万元。</w:t>
            </w:r>
          </w:p>
          <w:p w14:paraId="6362BE23">
            <w:pPr>
              <w:numPr>
                <w:ilvl w:val="0"/>
                <w:numId w:val="0"/>
              </w:num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该合同负债的计税基础=账面价值2500万元-未来期间计算应纳税所得额时按照税法规定可予抵扣的金额2500万元=0。</w:t>
            </w:r>
          </w:p>
          <w:p w14:paraId="319A9FA7">
            <w:pPr>
              <w:numPr>
                <w:ilvl w:val="0"/>
                <w:numId w:val="0"/>
              </w:num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该项负债的账面价值2500万元与其计税基础0之间产生的2500万元暂时性差异，该项暂时性差异的含义为在未来期间企业按照会计规定确认收入，产生经济利益流入时，因其在产生期间已经计算交纳了所得税，未来期间则不再计入应纳税所得额，从而会减少企业于未来期间的所得税税款流出。</w:t>
            </w:r>
          </w:p>
          <w:p w14:paraId="77329B78">
            <w:pPr>
              <w:ind w:firstLine="382" w:firstLineChars="200"/>
              <w:jc w:val="left"/>
              <w:rPr>
                <w:rFonts w:hint="eastAsia" w:ascii="宋体" w:hAnsi="宋体" w:cs="宋体"/>
                <w:b/>
                <w:bCs/>
                <w:spacing w:val="-10"/>
                <w:szCs w:val="21"/>
              </w:rPr>
            </w:pPr>
            <w:r>
              <w:rPr>
                <w:rFonts w:hint="eastAsia" w:ascii="宋体" w:hAnsi="宋体" w:cs="宋体"/>
                <w:b/>
                <w:bCs/>
                <w:spacing w:val="-10"/>
                <w:szCs w:val="21"/>
              </w:rPr>
              <w:t>(三)应付职工薪酬</w:t>
            </w:r>
          </w:p>
          <w:p w14:paraId="4448A661">
            <w:pPr>
              <w:ind w:firstLine="380" w:firstLineChars="200"/>
              <w:jc w:val="left"/>
              <w:rPr>
                <w:rFonts w:hint="eastAsia" w:ascii="宋体" w:hAnsi="宋体" w:cs="宋体"/>
                <w:spacing w:val="-10"/>
                <w:szCs w:val="21"/>
              </w:rPr>
            </w:pPr>
            <w:r>
              <w:rPr>
                <w:rFonts w:hint="eastAsia" w:ascii="宋体" w:hAnsi="宋体" w:cs="宋体"/>
                <w:spacing w:val="-10"/>
                <w:szCs w:val="21"/>
              </w:rPr>
              <w:t>会计准则规定，企业为获得职工提供的服务给予的各种形式的报酬以及其他相关支出均应作为企业的成本费用，在未支付之前确认为负债。税法中对于合理的职工薪酬基本允许税前扣除，但税法中如果规定了税前扣除标准的，按照会计准则规定计</w:t>
            </w:r>
            <w:r>
              <w:rPr>
                <w:rFonts w:hint="eastAsia" w:ascii="楷体" w:hAnsi="楷体" w:eastAsia="楷体" w:cs="楷体"/>
                <w:spacing w:val="-10"/>
                <w:szCs w:val="21"/>
              </w:rPr>
              <w:t>入</w:t>
            </w:r>
            <w:r>
              <w:rPr>
                <w:rFonts w:hint="eastAsia" w:ascii="宋体" w:hAnsi="宋体" w:cs="宋体"/>
                <w:spacing w:val="-10"/>
                <w:szCs w:val="21"/>
              </w:rPr>
              <w:t>成本费用支出的金额超过规定标准部分，应进行纳税调整。因超过部分在发生当期不允许税前扣除，在以后期间也不允许税前扣除，即该部分差额对未来期间计税不产生影响，所产生应付职工薪酬负债的账面价值等于计税基础。</w:t>
            </w:r>
          </w:p>
          <w:p w14:paraId="7F365DE2">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ascii="宋体" w:hAnsi="宋体"/>
                <w:szCs w:val="21"/>
              </w:rPr>
            </w:pPr>
          </w:p>
        </w:tc>
      </w:tr>
      <w:tr w14:paraId="6BCB3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1206" w:type="dxa"/>
            <w:vAlign w:val="center"/>
          </w:tcPr>
          <w:p w14:paraId="6AF312A5">
            <w:pPr>
              <w:jc w:val="center"/>
              <w:rPr>
                <w:rFonts w:hint="eastAsia" w:ascii="宋体" w:hAnsi="宋体"/>
                <w:sz w:val="18"/>
                <w:szCs w:val="18"/>
              </w:rPr>
            </w:pPr>
            <w:r>
              <w:rPr>
                <w:rFonts w:hint="eastAsia" w:ascii="宋体" w:hAnsi="宋体"/>
                <w:b/>
                <w:sz w:val="24"/>
              </w:rPr>
              <w:t>教辅活动</w:t>
            </w:r>
          </w:p>
        </w:tc>
        <w:tc>
          <w:tcPr>
            <w:tcW w:w="7769" w:type="dxa"/>
            <w:gridSpan w:val="3"/>
            <w:vAlign w:val="center"/>
          </w:tcPr>
          <w:p w14:paraId="0A1F3F47">
            <w:pPr>
              <w:adjustRightInd w:val="0"/>
              <w:snapToGrid w:val="0"/>
              <w:rPr>
                <w:rFonts w:hint="eastAsia" w:ascii="宋体" w:hAnsi="宋体"/>
                <w:color w:val="FF0000"/>
                <w:szCs w:val="21"/>
              </w:rPr>
            </w:pPr>
            <w:r>
              <w:rPr>
                <w:rFonts w:hint="eastAsia" w:ascii="宋体" w:hAnsi="宋体"/>
                <w:szCs w:val="21"/>
              </w:rPr>
              <w:t>布置作业：</w:t>
            </w:r>
            <w:r>
              <w:rPr>
                <w:rFonts w:hint="eastAsia" w:ascii="宋体" w:hAnsi="宋体"/>
                <w:color w:val="FF0000"/>
                <w:szCs w:val="21"/>
              </w:rPr>
              <w:t xml:space="preserve"> </w:t>
            </w:r>
          </w:p>
        </w:tc>
      </w:tr>
      <w:tr w14:paraId="5F2D8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1206" w:type="dxa"/>
            <w:vAlign w:val="center"/>
          </w:tcPr>
          <w:p w14:paraId="6E703BC5">
            <w:pPr>
              <w:jc w:val="center"/>
              <w:rPr>
                <w:rFonts w:hint="eastAsia" w:ascii="宋体" w:hAnsi="宋体"/>
                <w:sz w:val="18"/>
                <w:szCs w:val="18"/>
              </w:rPr>
            </w:pPr>
            <w:r>
              <w:rPr>
                <w:rFonts w:hint="eastAsia" w:ascii="宋体" w:hAnsi="宋体"/>
                <w:b/>
                <w:sz w:val="24"/>
              </w:rPr>
              <w:t>教学反思</w:t>
            </w:r>
          </w:p>
        </w:tc>
        <w:tc>
          <w:tcPr>
            <w:tcW w:w="7769" w:type="dxa"/>
            <w:gridSpan w:val="3"/>
            <w:vAlign w:val="center"/>
          </w:tcPr>
          <w:p w14:paraId="62B1EF13">
            <w:pPr>
              <w:adjustRightInd w:val="0"/>
              <w:snapToGrid w:val="0"/>
              <w:rPr>
                <w:rFonts w:hint="eastAsia" w:ascii="宋体" w:hAnsi="宋体"/>
                <w:szCs w:val="21"/>
              </w:rPr>
            </w:pPr>
          </w:p>
        </w:tc>
      </w:tr>
      <w:bookmarkEnd w:id="0"/>
    </w:tbl>
    <w:p w14:paraId="561CCB90">
      <w:pPr>
        <w:widowControl/>
        <w:jc w:val="left"/>
        <w:rPr>
          <w:rFonts w:ascii="华文中宋" w:hAnsi="华文中宋" w:eastAsia="华文中宋"/>
          <w:b/>
          <w:sz w:val="18"/>
          <w:szCs w:val="18"/>
        </w:rPr>
      </w:pPr>
    </w:p>
    <w:p w14:paraId="0E79BB76">
      <w:pPr>
        <w:widowControl/>
        <w:jc w:val="left"/>
        <w:rPr>
          <w:rFonts w:hint="eastAsia" w:ascii="华文中宋" w:hAnsi="华文中宋" w:eastAsia="华文中宋"/>
          <w:b/>
          <w:sz w:val="18"/>
          <w:szCs w:val="18"/>
        </w:rPr>
      </w:pPr>
    </w:p>
    <w:p w14:paraId="5D632C44">
      <w:pPr>
        <w:rPr>
          <w:rFonts w:hint="eastAsia" w:ascii="华文中宋" w:hAnsi="华文中宋" w:eastAsia="华文中宋"/>
          <w:b/>
          <w:sz w:val="18"/>
          <w:szCs w:val="18"/>
        </w:rPr>
      </w:pPr>
    </w:p>
    <w:p w14:paraId="20183978">
      <w:pPr>
        <w:rPr>
          <w:rFonts w:hint="eastAsia" w:ascii="华文中宋" w:hAnsi="华文中宋" w:eastAsia="华文中宋"/>
          <w:b/>
          <w:sz w:val="18"/>
          <w:szCs w:val="18"/>
        </w:rPr>
      </w:pPr>
    </w:p>
    <w:p w14:paraId="11A0B545">
      <w:pPr>
        <w:rPr>
          <w:rFonts w:hint="eastAsia" w:ascii="华文中宋" w:hAnsi="华文中宋" w:eastAsia="华文中宋"/>
          <w:b/>
          <w:sz w:val="18"/>
          <w:szCs w:val="18"/>
        </w:rPr>
      </w:pPr>
    </w:p>
    <w:tbl>
      <w:tblPr>
        <w:tblStyle w:val="8"/>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907"/>
        <w:gridCol w:w="727"/>
        <w:gridCol w:w="2135"/>
      </w:tblGrid>
      <w:tr w14:paraId="7EB22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7908A4C7">
            <w:pPr>
              <w:spacing w:line="460" w:lineRule="exact"/>
              <w:rPr>
                <w:rFonts w:hint="eastAsia" w:ascii="宋体" w:hAnsi="宋体"/>
                <w:b/>
                <w:sz w:val="24"/>
              </w:rPr>
            </w:pPr>
            <w:r>
              <w:rPr>
                <w:rFonts w:hint="eastAsia" w:ascii="宋体" w:hAnsi="宋体"/>
                <w:b/>
                <w:sz w:val="24"/>
              </w:rPr>
              <w:t>教学内容</w:t>
            </w:r>
          </w:p>
        </w:tc>
        <w:tc>
          <w:tcPr>
            <w:tcW w:w="4907" w:type="dxa"/>
            <w:vAlign w:val="center"/>
          </w:tcPr>
          <w:p w14:paraId="766B25F5">
            <w:pPr>
              <w:jc w:val="center"/>
              <w:outlineLvl w:val="1"/>
              <w:rPr>
                <w:rFonts w:hint="eastAsia" w:ascii="宋体" w:hAnsi="宋体"/>
                <w:b/>
                <w:sz w:val="24"/>
              </w:rPr>
            </w:pPr>
            <w:r>
              <w:rPr>
                <w:rFonts w:hint="eastAsia" w:ascii="宋体" w:hAnsi="宋体" w:cs="宋体"/>
                <w:b/>
                <w:bCs/>
                <w:spacing w:val="-10"/>
                <w:szCs w:val="21"/>
                <w:lang w:val="en-US" w:eastAsia="zh-CN"/>
              </w:rPr>
              <w:t xml:space="preserve"> 递延所得税资产及负债的确认和计量</w:t>
            </w:r>
          </w:p>
        </w:tc>
        <w:tc>
          <w:tcPr>
            <w:tcW w:w="727" w:type="dxa"/>
            <w:vAlign w:val="center"/>
          </w:tcPr>
          <w:p w14:paraId="6941BD06">
            <w:pPr>
              <w:spacing w:line="460" w:lineRule="exact"/>
              <w:rPr>
                <w:rFonts w:hint="eastAsia" w:ascii="宋体" w:hAnsi="宋体"/>
                <w:b/>
                <w:sz w:val="24"/>
              </w:rPr>
            </w:pPr>
            <w:r>
              <w:rPr>
                <w:rFonts w:hint="eastAsia" w:ascii="宋体" w:hAnsi="宋体"/>
                <w:b/>
                <w:sz w:val="24"/>
              </w:rPr>
              <w:t>课时</w:t>
            </w:r>
          </w:p>
        </w:tc>
        <w:tc>
          <w:tcPr>
            <w:tcW w:w="2135" w:type="dxa"/>
            <w:vAlign w:val="center"/>
          </w:tcPr>
          <w:p w14:paraId="3A68ADE3">
            <w:pPr>
              <w:spacing w:line="460" w:lineRule="exact"/>
              <w:ind w:firstLine="482" w:firstLineChars="200"/>
              <w:rPr>
                <w:rFonts w:hint="eastAsia" w:ascii="宋体" w:hAnsi="宋体"/>
                <w:b/>
                <w:sz w:val="24"/>
              </w:rPr>
            </w:pPr>
            <w:r>
              <w:rPr>
                <w:rFonts w:hint="eastAsia" w:ascii="宋体" w:hAnsi="宋体"/>
                <w:b/>
                <w:color w:val="000000" w:themeColor="text1"/>
                <w:sz w:val="24"/>
                <w14:textFill>
                  <w14:solidFill>
                    <w14:schemeClr w14:val="tx1"/>
                  </w14:solidFill>
                </w14:textFill>
              </w:rPr>
              <w:t>2学时</w:t>
            </w:r>
          </w:p>
        </w:tc>
      </w:tr>
      <w:tr w14:paraId="7DD1F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3759CBC2">
            <w:pPr>
              <w:spacing w:line="460" w:lineRule="exact"/>
              <w:rPr>
                <w:rFonts w:hint="eastAsia" w:ascii="宋体" w:hAnsi="宋体"/>
                <w:b/>
                <w:sz w:val="24"/>
              </w:rPr>
            </w:pPr>
            <w:r>
              <w:rPr>
                <w:rFonts w:hint="eastAsia" w:ascii="宋体" w:hAnsi="宋体"/>
                <w:b/>
                <w:sz w:val="24"/>
              </w:rPr>
              <w:t>教学目标</w:t>
            </w:r>
          </w:p>
          <w:p w14:paraId="04A7D4B0">
            <w:pPr>
              <w:spacing w:line="460" w:lineRule="exact"/>
              <w:rPr>
                <w:rFonts w:hint="eastAsia" w:ascii="宋体" w:hAnsi="宋体"/>
                <w:b/>
                <w:sz w:val="24"/>
              </w:rPr>
            </w:pPr>
            <w:r>
              <w:rPr>
                <w:rFonts w:hint="eastAsia" w:ascii="宋体" w:hAnsi="宋体"/>
                <w:b/>
                <w:color w:val="FF0000"/>
                <w:szCs w:val="21"/>
              </w:rPr>
              <w:t>对应课标</w:t>
            </w:r>
          </w:p>
        </w:tc>
        <w:tc>
          <w:tcPr>
            <w:tcW w:w="7769" w:type="dxa"/>
            <w:gridSpan w:val="3"/>
            <w:vAlign w:val="center"/>
          </w:tcPr>
          <w:p w14:paraId="11484D01">
            <w:pPr>
              <w:rPr>
                <w:rFonts w:hint="eastAsia" w:ascii="宋体" w:hAnsi="宋体"/>
                <w:b/>
                <w:szCs w:val="21"/>
              </w:rPr>
            </w:pPr>
            <w:r>
              <w:rPr>
                <w:rFonts w:hint="eastAsia" w:ascii="宋体" w:hAnsi="宋体"/>
                <w:b/>
                <w:szCs w:val="21"/>
              </w:rPr>
              <w:t>一、知识目标：</w:t>
            </w:r>
          </w:p>
          <w:p w14:paraId="6CA37FC0">
            <w:pPr>
              <w:jc w:val="left"/>
              <w:outlineLvl w:val="9"/>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1.熟悉</w:t>
            </w:r>
            <w:r>
              <w:rPr>
                <w:rFonts w:hint="eastAsia" w:ascii="宋体" w:hAnsi="宋体" w:cs="宋体"/>
                <w:b w:val="0"/>
                <w:bCs w:val="0"/>
                <w:spacing w:val="-10"/>
                <w:szCs w:val="21"/>
              </w:rPr>
              <w:t>资产负债表债务法</w:t>
            </w:r>
            <w:r>
              <w:rPr>
                <w:rFonts w:hint="eastAsia" w:ascii="宋体" w:hAnsi="宋体" w:cs="宋体"/>
                <w:b w:val="0"/>
                <w:bCs w:val="0"/>
                <w:spacing w:val="-10"/>
                <w:szCs w:val="21"/>
                <w:lang w:val="en-US" w:eastAsia="zh-CN"/>
              </w:rPr>
              <w:t>的概念；</w:t>
            </w:r>
          </w:p>
          <w:p w14:paraId="4709CE7F">
            <w:pPr>
              <w:jc w:val="left"/>
              <w:outlineLvl w:val="9"/>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2.熟悉所得税会计的一般程序；</w:t>
            </w:r>
          </w:p>
          <w:p w14:paraId="46CF177F">
            <w:pPr>
              <w:jc w:val="left"/>
              <w:outlineLvl w:val="9"/>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3.理解资产、负债的计税基础；</w:t>
            </w:r>
          </w:p>
          <w:p w14:paraId="1945A14D">
            <w:pPr>
              <w:rPr>
                <w:rFonts w:hint="eastAsia" w:ascii="宋体" w:hAnsi="宋体"/>
                <w:b/>
                <w:szCs w:val="21"/>
              </w:rPr>
            </w:pPr>
            <w:r>
              <w:rPr>
                <w:rFonts w:hint="eastAsia" w:ascii="宋体" w:hAnsi="宋体"/>
                <w:b/>
                <w:szCs w:val="21"/>
              </w:rPr>
              <w:t>二、能力目标：</w:t>
            </w:r>
          </w:p>
          <w:p w14:paraId="66A78D51">
            <w:pPr>
              <w:rPr>
                <w:rFonts w:hint="eastAsia" w:ascii="宋体" w:hAnsi="宋体" w:cs="宋体"/>
                <w:b w:val="0"/>
                <w:bCs w:val="0"/>
                <w:spacing w:val="-10"/>
                <w:szCs w:val="21"/>
                <w:lang w:val="en-US" w:eastAsia="zh-CN"/>
              </w:rPr>
            </w:pPr>
            <w:r>
              <w:rPr>
                <w:rFonts w:hint="eastAsia" w:ascii="宋体" w:hAnsi="宋体"/>
                <w:szCs w:val="21"/>
              </w:rPr>
              <w:t>1.能够</w:t>
            </w:r>
            <w:r>
              <w:rPr>
                <w:rFonts w:hint="eastAsia" w:ascii="宋体" w:hAnsi="宋体"/>
                <w:szCs w:val="21"/>
                <w:lang w:val="en-US" w:eastAsia="zh-CN"/>
              </w:rPr>
              <w:t>掌握</w:t>
            </w:r>
            <w:r>
              <w:rPr>
                <w:rFonts w:hint="eastAsia" w:ascii="宋体" w:hAnsi="宋体" w:cs="宋体"/>
                <w:b w:val="0"/>
                <w:bCs w:val="0"/>
                <w:spacing w:val="-10"/>
                <w:szCs w:val="21"/>
                <w:lang w:val="en-US" w:eastAsia="zh-CN"/>
              </w:rPr>
              <w:t>所得税会计的一般程序；</w:t>
            </w:r>
          </w:p>
          <w:p w14:paraId="06B7CEA6">
            <w:pPr>
              <w:jc w:val="left"/>
              <w:outlineLvl w:val="9"/>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2.</w:t>
            </w:r>
            <w:r>
              <w:rPr>
                <w:rFonts w:hint="eastAsia" w:ascii="宋体" w:hAnsi="宋体"/>
                <w:szCs w:val="21"/>
              </w:rPr>
              <w:t>能够</w:t>
            </w:r>
            <w:r>
              <w:rPr>
                <w:rFonts w:hint="eastAsia" w:ascii="宋体" w:hAnsi="宋体" w:cs="宋体"/>
                <w:b w:val="0"/>
                <w:bCs w:val="0"/>
                <w:spacing w:val="-10"/>
                <w:szCs w:val="21"/>
                <w:lang w:val="en-US" w:eastAsia="zh-CN"/>
              </w:rPr>
              <w:t>理解资产、负债的计税基础；</w:t>
            </w:r>
          </w:p>
          <w:p w14:paraId="4BF0E2D1">
            <w:pPr>
              <w:rPr>
                <w:rFonts w:hint="eastAsia" w:ascii="宋体" w:hAnsi="宋体"/>
                <w:b/>
                <w:szCs w:val="21"/>
              </w:rPr>
            </w:pPr>
            <w:r>
              <w:rPr>
                <w:rFonts w:hint="eastAsia" w:ascii="宋体" w:hAnsi="宋体"/>
                <w:b/>
                <w:szCs w:val="21"/>
              </w:rPr>
              <w:t>三、素质（思政）目标：</w:t>
            </w:r>
          </w:p>
          <w:p w14:paraId="25F284E0">
            <w:pPr>
              <w:jc w:val="left"/>
              <w:rPr>
                <w:rFonts w:hint="default" w:ascii="宋体" w:hAnsi="宋体"/>
                <w:b w:val="0"/>
                <w:bCs w:val="0"/>
                <w:szCs w:val="21"/>
                <w:lang w:val="en-US" w:eastAsia="zh-CN"/>
              </w:rPr>
            </w:pPr>
            <w:r>
              <w:rPr>
                <w:rFonts w:hint="default" w:ascii="宋体" w:hAnsi="宋体"/>
                <w:b w:val="0"/>
                <w:bCs w:val="0"/>
                <w:szCs w:val="21"/>
                <w:lang w:val="en-US" w:eastAsia="zh-CN"/>
              </w:rPr>
              <w:t>1.培养</w:t>
            </w:r>
            <w:r>
              <w:rPr>
                <w:rFonts w:hint="eastAsia" w:ascii="宋体" w:hAnsi="宋体"/>
                <w:b w:val="0"/>
                <w:bCs w:val="0"/>
                <w:szCs w:val="21"/>
                <w:lang w:val="en-US" w:eastAsia="zh-CN"/>
              </w:rPr>
              <w:t>感恩情怀；</w:t>
            </w:r>
          </w:p>
          <w:p w14:paraId="6BD7284C">
            <w:pPr>
              <w:jc w:val="left"/>
              <w:rPr>
                <w:rFonts w:hint="default" w:ascii="宋体" w:hAnsi="宋体"/>
                <w:b w:val="0"/>
                <w:bCs w:val="0"/>
                <w:szCs w:val="21"/>
                <w:lang w:val="en-US" w:eastAsia="zh-CN"/>
              </w:rPr>
            </w:pPr>
            <w:r>
              <w:rPr>
                <w:rFonts w:hint="default" w:ascii="宋体" w:hAnsi="宋体"/>
                <w:b w:val="0"/>
                <w:bCs w:val="0"/>
                <w:szCs w:val="21"/>
                <w:lang w:val="en-US" w:eastAsia="zh-CN"/>
              </w:rPr>
              <w:t>2.培养谨慎工作、细心认真的职业素养</w:t>
            </w:r>
            <w:r>
              <w:rPr>
                <w:rFonts w:hint="eastAsia" w:ascii="宋体" w:hAnsi="宋体"/>
                <w:b w:val="0"/>
                <w:bCs w:val="0"/>
                <w:szCs w:val="21"/>
                <w:lang w:val="en-US" w:eastAsia="zh-CN"/>
              </w:rPr>
              <w:t>；</w:t>
            </w:r>
          </w:p>
          <w:p w14:paraId="19A13B3D">
            <w:pPr>
              <w:jc w:val="left"/>
              <w:rPr>
                <w:rFonts w:hint="eastAsia" w:ascii="宋体" w:hAnsi="宋体"/>
                <w:b/>
                <w:sz w:val="24"/>
              </w:rPr>
            </w:pPr>
            <w:r>
              <w:rPr>
                <w:rFonts w:hint="eastAsia" w:ascii="宋体" w:hAnsi="宋体"/>
                <w:b w:val="0"/>
                <w:bCs w:val="0"/>
                <w:szCs w:val="21"/>
                <w:lang w:val="en-US" w:eastAsia="zh-CN"/>
              </w:rPr>
              <w:t>3</w:t>
            </w:r>
            <w:r>
              <w:rPr>
                <w:rFonts w:hint="default" w:ascii="宋体" w:hAnsi="宋体"/>
                <w:b w:val="0"/>
                <w:bCs w:val="0"/>
                <w:szCs w:val="21"/>
                <w:lang w:val="en-US" w:eastAsia="zh-CN"/>
              </w:rPr>
              <w:t>.树立</w:t>
            </w:r>
            <w:r>
              <w:rPr>
                <w:rFonts w:hint="eastAsia" w:ascii="宋体" w:hAnsi="宋体"/>
                <w:b w:val="0"/>
                <w:bCs w:val="0"/>
                <w:szCs w:val="21"/>
                <w:lang w:val="en-US" w:eastAsia="zh-CN"/>
              </w:rPr>
              <w:t>社会责任感。</w:t>
            </w:r>
          </w:p>
        </w:tc>
      </w:tr>
      <w:tr w14:paraId="2EE96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1206" w:type="dxa"/>
            <w:vAlign w:val="center"/>
          </w:tcPr>
          <w:p w14:paraId="164544B2">
            <w:pPr>
              <w:spacing w:line="460" w:lineRule="exact"/>
              <w:rPr>
                <w:rFonts w:hint="eastAsia" w:ascii="宋体" w:hAnsi="宋体"/>
                <w:b/>
                <w:sz w:val="24"/>
              </w:rPr>
            </w:pPr>
            <w:r>
              <w:rPr>
                <w:rFonts w:hint="eastAsia" w:ascii="宋体" w:hAnsi="宋体"/>
                <w:b/>
                <w:sz w:val="24"/>
              </w:rPr>
              <w:t>教学方法</w:t>
            </w:r>
          </w:p>
          <w:p w14:paraId="04185497">
            <w:pPr>
              <w:spacing w:line="460" w:lineRule="exact"/>
              <w:rPr>
                <w:rFonts w:hint="eastAsia" w:ascii="宋体" w:hAnsi="宋体"/>
                <w:sz w:val="18"/>
                <w:szCs w:val="18"/>
              </w:rPr>
            </w:pPr>
            <w:r>
              <w:rPr>
                <w:rFonts w:hint="eastAsia" w:ascii="宋体" w:hAnsi="宋体"/>
                <w:b/>
                <w:sz w:val="24"/>
              </w:rPr>
              <w:t>与手段</w:t>
            </w:r>
          </w:p>
        </w:tc>
        <w:tc>
          <w:tcPr>
            <w:tcW w:w="7769" w:type="dxa"/>
            <w:gridSpan w:val="3"/>
            <w:vAlign w:val="center"/>
          </w:tcPr>
          <w:p w14:paraId="68E3A6EE">
            <w:pPr>
              <w:numPr>
                <w:ilvl w:val="0"/>
                <w:numId w:val="1"/>
              </w:numPr>
              <w:spacing w:line="360" w:lineRule="exact"/>
              <w:ind w:firstLine="210"/>
            </w:pPr>
            <w:r>
              <w:rPr>
                <w:rFonts w:hint="eastAsia" w:ascii="宋体" w:hAnsi="宋体"/>
                <w:b/>
                <w:szCs w:val="21"/>
              </w:rPr>
              <w:t>教学方法：</w:t>
            </w:r>
            <w:r>
              <w:rPr>
                <w:rFonts w:hint="eastAsia" w:ascii="仿宋_GB2312" w:eastAsia="仿宋_GB2312" w:cs="仿宋_GB2312"/>
              </w:rPr>
              <w:sym w:font="Wingdings 2" w:char="0052"/>
            </w:r>
            <w:r>
              <w:rPr>
                <w:rFonts w:hint="eastAsia"/>
              </w:rPr>
              <w:t>讲授法；</w:t>
            </w:r>
            <w:r>
              <w:rPr>
                <w:rFonts w:hint="eastAsia" w:ascii="仿宋_GB2312" w:eastAsia="仿宋_GB2312" w:cs="仿宋_GB2312"/>
              </w:rPr>
              <w:sym w:font="Wingdings 2" w:char="0052"/>
            </w:r>
            <w:r>
              <w:rPr>
                <w:rFonts w:hint="eastAsia"/>
              </w:rPr>
              <w:t>讨论法；</w:t>
            </w:r>
            <w:r>
              <w:rPr>
                <w:rFonts w:hint="eastAsia" w:ascii="仿宋_GB2312" w:eastAsia="仿宋_GB2312" w:cs="仿宋_GB2312"/>
              </w:rPr>
              <w:sym w:font="Wingdings 2" w:char="0052"/>
            </w:r>
            <w:r>
              <w:rPr>
                <w:rFonts w:hint="eastAsia"/>
              </w:rPr>
              <w:t>演示法；</w:t>
            </w:r>
            <w:r>
              <w:rPr>
                <w:rFonts w:hint="eastAsia"/>
              </w:rPr>
              <w:sym w:font="Wingdings 2" w:char="00A3"/>
            </w:r>
            <w:r>
              <w:rPr>
                <w:rFonts w:hint="eastAsia"/>
              </w:rPr>
              <w:t>参观法；</w:t>
            </w:r>
          </w:p>
          <w:p w14:paraId="7FB2C364">
            <w:pPr>
              <w:spacing w:line="360" w:lineRule="exact"/>
              <w:ind w:firstLine="1470" w:firstLineChars="700"/>
              <w:rPr>
                <w:rFonts w:hint="eastAsia" w:ascii="宋体" w:hAnsi="宋体"/>
                <w:b/>
                <w:szCs w:val="21"/>
              </w:rPr>
            </w:pPr>
            <w:r>
              <w:rPr>
                <w:rFonts w:hint="eastAsia" w:ascii="仿宋_GB2312" w:eastAsia="仿宋_GB2312" w:cs="仿宋_GB2312"/>
              </w:rPr>
              <w:sym w:font="Wingdings 2" w:char="0052"/>
            </w:r>
            <w:r>
              <w:rPr>
                <w:rFonts w:hint="eastAsia"/>
              </w:rPr>
              <w:t>练习法；</w:t>
            </w:r>
            <w:r>
              <w:rPr>
                <w:rFonts w:hint="eastAsia"/>
              </w:rPr>
              <w:sym w:font="Wingdings 2" w:char="00A3"/>
            </w:r>
            <w:r>
              <w:rPr>
                <w:rFonts w:hint="eastAsia"/>
              </w:rPr>
              <w:t>实验法；其他：</w:t>
            </w:r>
          </w:p>
          <w:p w14:paraId="6DD49B36">
            <w:pPr>
              <w:numPr>
                <w:ilvl w:val="0"/>
                <w:numId w:val="1"/>
              </w:numPr>
              <w:spacing w:line="360" w:lineRule="auto"/>
              <w:ind w:firstLine="210"/>
              <w:rPr>
                <w:rFonts w:hint="eastAsia" w:ascii="宋体" w:hAnsi="宋体"/>
                <w:b/>
                <w:szCs w:val="21"/>
              </w:rPr>
            </w:pPr>
            <w:r>
              <w:rPr>
                <w:rFonts w:hint="eastAsia" w:ascii="宋体" w:hAnsi="宋体"/>
                <w:b/>
                <w:szCs w:val="21"/>
              </w:rPr>
              <w:t>教学手段：</w:t>
            </w:r>
          </w:p>
          <w:p w14:paraId="26005A49">
            <w:pPr>
              <w:numPr>
                <w:ilvl w:val="0"/>
                <w:numId w:val="2"/>
              </w:numPr>
              <w:spacing w:line="360" w:lineRule="exact"/>
              <w:ind w:firstLine="210"/>
              <w:rPr>
                <w:rFonts w:hint="eastAsia" w:ascii="宋体" w:hAnsi="宋体"/>
                <w:b/>
                <w:szCs w:val="21"/>
              </w:rPr>
            </w:pPr>
            <w:r>
              <w:rPr>
                <w:rFonts w:hint="eastAsia"/>
              </w:rPr>
              <w:t>传统教学手段：</w:t>
            </w:r>
            <w:r>
              <w:rPr>
                <w:rFonts w:hint="eastAsia" w:ascii="仿宋_GB2312" w:eastAsia="仿宋_GB2312" w:cs="仿宋_GB2312"/>
              </w:rPr>
              <w:sym w:font="Wingdings 2" w:char="0052"/>
            </w:r>
            <w:r>
              <w:rPr>
                <w:rFonts w:hint="eastAsia"/>
              </w:rPr>
              <w:t>口头语言；</w:t>
            </w:r>
            <w:r>
              <w:rPr>
                <w:rFonts w:hint="eastAsia" w:ascii="仿宋_GB2312" w:eastAsia="仿宋_GB2312" w:cs="仿宋_GB2312"/>
              </w:rPr>
              <w:sym w:font="Wingdings 2" w:char="0052"/>
            </w:r>
            <w:r>
              <w:rPr>
                <w:rFonts w:hint="eastAsia"/>
              </w:rPr>
              <w:t>纸质教材；</w:t>
            </w:r>
            <w:r>
              <w:rPr>
                <w:rFonts w:hint="eastAsia" w:ascii="仿宋_GB2312" w:eastAsia="仿宋_GB2312" w:cs="仿宋_GB2312"/>
              </w:rPr>
              <w:sym w:font="Wingdings 2" w:char="0052"/>
            </w:r>
            <w:r>
              <w:rPr>
                <w:rFonts w:hint="eastAsia"/>
              </w:rPr>
              <w:t>粉笔黑板；</w:t>
            </w:r>
            <w:r>
              <w:rPr>
                <w:rFonts w:hint="eastAsia"/>
              </w:rPr>
              <w:sym w:font="Wingdings 2" w:char="00A3"/>
            </w:r>
            <w:r>
              <w:rPr>
                <w:rFonts w:hint="eastAsia"/>
              </w:rPr>
              <w:t>实物展台；其他：</w:t>
            </w:r>
          </w:p>
          <w:p w14:paraId="58E15405">
            <w:pPr>
              <w:numPr>
                <w:ilvl w:val="0"/>
                <w:numId w:val="2"/>
              </w:numPr>
              <w:spacing w:line="360" w:lineRule="exact"/>
              <w:ind w:firstLine="210"/>
              <w:rPr>
                <w:rFonts w:hint="eastAsia" w:ascii="宋体" w:hAnsi="宋体"/>
                <w:b/>
                <w:szCs w:val="21"/>
              </w:rPr>
            </w:pPr>
            <w:r>
              <w:rPr>
                <w:rFonts w:hint="eastAsia"/>
              </w:rPr>
              <w:t>现代教学手段：</w:t>
            </w:r>
            <w:r>
              <w:rPr>
                <w:rFonts w:hint="eastAsia"/>
              </w:rPr>
              <w:sym w:font="Wingdings 2" w:char="00A3"/>
            </w:r>
            <w:r>
              <w:rPr>
                <w:rFonts w:hint="eastAsia"/>
              </w:rPr>
              <w:t>视听设备；</w:t>
            </w:r>
            <w:r>
              <w:rPr>
                <w:rFonts w:hint="eastAsia" w:ascii="仿宋_GB2312" w:eastAsia="仿宋_GB2312" w:cs="仿宋_GB2312"/>
              </w:rPr>
              <w:sym w:font="Wingdings 2" w:char="0052"/>
            </w:r>
            <w:r>
              <w:rPr>
                <w:rFonts w:hint="eastAsia"/>
              </w:rPr>
              <w:t>电子资源；</w:t>
            </w:r>
            <w:r>
              <w:rPr>
                <w:rFonts w:hint="eastAsia" w:ascii="仿宋_GB2312" w:eastAsia="仿宋_GB2312" w:cs="仿宋_GB2312"/>
              </w:rPr>
              <w:sym w:font="Wingdings 2" w:char="0052"/>
            </w:r>
            <w:r>
              <w:rPr>
                <w:rFonts w:hint="eastAsia"/>
              </w:rPr>
              <w:t>网络技术；</w:t>
            </w:r>
            <w:r>
              <w:rPr>
                <w:rFonts w:hint="eastAsia"/>
              </w:rPr>
              <w:sym w:font="Wingdings 2" w:char="00A3"/>
            </w:r>
            <w:r>
              <w:rPr>
                <w:rFonts w:hint="eastAsia"/>
              </w:rPr>
              <w:t>实训平台；其他：</w:t>
            </w:r>
          </w:p>
        </w:tc>
      </w:tr>
      <w:tr w14:paraId="29D81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06" w:type="dxa"/>
            <w:vAlign w:val="center"/>
          </w:tcPr>
          <w:p w14:paraId="5E39B879">
            <w:pPr>
              <w:spacing w:line="460" w:lineRule="exact"/>
              <w:rPr>
                <w:rFonts w:hint="eastAsia" w:ascii="宋体" w:hAnsi="宋体"/>
                <w:sz w:val="18"/>
                <w:szCs w:val="18"/>
              </w:rPr>
            </w:pPr>
            <w:r>
              <w:rPr>
                <w:rFonts w:hint="eastAsia" w:ascii="宋体" w:hAnsi="宋体"/>
                <w:b/>
                <w:sz w:val="24"/>
              </w:rPr>
              <w:t>教学重点与难点</w:t>
            </w:r>
          </w:p>
        </w:tc>
        <w:tc>
          <w:tcPr>
            <w:tcW w:w="7769" w:type="dxa"/>
            <w:gridSpan w:val="3"/>
            <w:tcBorders>
              <w:bottom w:val="single" w:color="auto" w:sz="4" w:space="0"/>
            </w:tcBorders>
            <w:vAlign w:val="center"/>
          </w:tcPr>
          <w:p w14:paraId="6D4235C1">
            <w:pPr>
              <w:rPr>
                <w:rFonts w:hint="eastAsia" w:ascii="宋体" w:hAnsi="宋体"/>
                <w:szCs w:val="21"/>
              </w:rPr>
            </w:pPr>
            <w:r>
              <w:rPr>
                <w:rFonts w:hint="eastAsia" w:ascii="宋体" w:hAnsi="宋体"/>
                <w:b/>
                <w:szCs w:val="21"/>
              </w:rPr>
              <w:t>一、教学重点：</w:t>
            </w:r>
            <w:r>
              <w:rPr>
                <w:rFonts w:hint="eastAsia" w:ascii="宋体" w:hAnsi="宋体" w:cs="宋体"/>
                <w:spacing w:val="-10"/>
                <w:szCs w:val="21"/>
                <w:lang w:val="en-US" w:eastAsia="zh-CN"/>
              </w:rPr>
              <w:t>政府补助的</w:t>
            </w:r>
            <w:r>
              <w:rPr>
                <w:rFonts w:hint="eastAsia" w:ascii="宋体" w:hAnsi="宋体" w:cs="宋体"/>
                <w:spacing w:val="-10"/>
                <w:szCs w:val="21"/>
              </w:rPr>
              <w:t>分类</w:t>
            </w:r>
          </w:p>
          <w:p w14:paraId="27B9DA49">
            <w:pPr>
              <w:rPr>
                <w:rFonts w:hint="eastAsia" w:ascii="宋体" w:hAnsi="宋体"/>
                <w:sz w:val="18"/>
                <w:szCs w:val="18"/>
              </w:rPr>
            </w:pPr>
            <w:r>
              <w:rPr>
                <w:rFonts w:hint="eastAsia" w:ascii="宋体" w:hAnsi="宋体"/>
                <w:b/>
                <w:szCs w:val="21"/>
              </w:rPr>
              <w:t>二、教学难点：如何</w:t>
            </w:r>
            <w:r>
              <w:rPr>
                <w:rFonts w:hint="eastAsia" w:ascii="宋体" w:hAnsi="宋体"/>
                <w:szCs w:val="21"/>
              </w:rPr>
              <w:t>对</w:t>
            </w:r>
            <w:r>
              <w:rPr>
                <w:rFonts w:hint="eastAsia" w:ascii="宋体" w:hAnsi="宋体" w:cs="宋体"/>
                <w:spacing w:val="-10"/>
                <w:szCs w:val="21"/>
                <w:lang w:val="en-US" w:eastAsia="zh-CN"/>
              </w:rPr>
              <w:t>政府补助进行</w:t>
            </w:r>
            <w:r>
              <w:rPr>
                <w:rFonts w:hint="eastAsia" w:ascii="宋体" w:hAnsi="宋体" w:cs="宋体"/>
                <w:spacing w:val="-10"/>
                <w:szCs w:val="21"/>
              </w:rPr>
              <w:t>分类</w:t>
            </w:r>
          </w:p>
        </w:tc>
      </w:tr>
      <w:tr w14:paraId="4441A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7" w:hRule="atLeast"/>
          <w:jc w:val="center"/>
        </w:trPr>
        <w:tc>
          <w:tcPr>
            <w:tcW w:w="1206" w:type="dxa"/>
            <w:vAlign w:val="center"/>
          </w:tcPr>
          <w:p w14:paraId="5F19FECA">
            <w:pPr>
              <w:spacing w:line="460" w:lineRule="exact"/>
              <w:rPr>
                <w:rFonts w:hint="eastAsia" w:ascii="宋体" w:hAnsi="宋体"/>
                <w:sz w:val="18"/>
                <w:szCs w:val="18"/>
              </w:rPr>
            </w:pPr>
            <w:r>
              <w:rPr>
                <w:rFonts w:hint="eastAsia" w:ascii="宋体" w:hAnsi="宋体"/>
                <w:b/>
                <w:sz w:val="24"/>
              </w:rPr>
              <w:t>教学内容与过程</w:t>
            </w:r>
          </w:p>
        </w:tc>
        <w:tc>
          <w:tcPr>
            <w:tcW w:w="7769" w:type="dxa"/>
            <w:gridSpan w:val="3"/>
            <w:vAlign w:val="center"/>
          </w:tcPr>
          <w:p w14:paraId="3715E3C6">
            <w:pPr>
              <w:ind w:firstLine="420" w:firstLineChars="200"/>
              <w:jc w:val="left"/>
              <w:rPr>
                <w:rFonts w:hint="eastAsia" w:ascii="宋体" w:hAnsi="宋体" w:eastAsia="宋体" w:cs="Times New Roman"/>
                <w:b/>
                <w:bCs/>
                <w:szCs w:val="21"/>
                <w:lang w:eastAsia="zh-CN"/>
              </w:rPr>
            </w:pPr>
            <w:r>
              <w:rPr>
                <w:rFonts w:hint="eastAsia"/>
                <w:color w:val="FF0000"/>
              </w:rPr>
              <w:t>【课程导入】</w:t>
            </w:r>
            <w:r>
              <w:rPr>
                <w:rFonts w:hint="eastAsia" w:ascii="宋体" w:hAnsi="宋体" w:eastAsia="宋体" w:cs="Times New Roman"/>
                <w:b/>
                <w:bCs/>
                <w:szCs w:val="21"/>
                <w:lang w:eastAsia="zh-CN"/>
              </w:rPr>
              <w:t>税惠助力，创新赋能，布局全球产能</w:t>
            </w:r>
          </w:p>
          <w:p w14:paraId="52F7691A">
            <w:pPr>
              <w:ind w:firstLine="420" w:firstLineChars="200"/>
              <w:jc w:val="left"/>
              <w:rPr>
                <w:rFonts w:hint="eastAsia" w:ascii="宋体" w:hAnsi="宋体" w:eastAsia="宋体" w:cs="Times New Roman"/>
                <w:szCs w:val="21"/>
                <w:lang w:eastAsia="zh-CN"/>
              </w:rPr>
            </w:pPr>
            <w:r>
              <w:rPr>
                <w:rFonts w:hint="eastAsia" w:ascii="宋体" w:hAnsi="宋体" w:eastAsia="宋体" w:cs="Times New Roman"/>
                <w:szCs w:val="21"/>
                <w:lang w:eastAsia="zh-CN"/>
              </w:rPr>
              <w:t>安徽圣奥化学科技有限公司是一家专注于橡胶防老剂、硫化剂等绿色化工产品研发、生产和销售的民营企业。公司在核心业务的基础上，开发具有防老功能的配方产品，并创新科技发展模式，自主研发新产品，紧跟国际同类先进产品的发展步伐，致力于逐步实现橡胶助剂的进口替代。在满足国内市场需求的同时，不断改进产品工艺，为全球市场提供技术研发支持。</w:t>
            </w:r>
          </w:p>
          <w:p w14:paraId="77DEFE1D">
            <w:pPr>
              <w:ind w:firstLine="420" w:firstLineChars="200"/>
              <w:jc w:val="left"/>
              <w:rPr>
                <w:rFonts w:hint="eastAsia" w:ascii="宋体" w:hAnsi="宋体" w:eastAsia="宋体" w:cs="Times New Roman"/>
                <w:szCs w:val="21"/>
                <w:lang w:eastAsia="zh-CN"/>
              </w:rPr>
            </w:pPr>
            <w:r>
              <w:rPr>
                <w:rFonts w:hint="eastAsia" w:ascii="宋体" w:hAnsi="宋体" w:eastAsia="宋体" w:cs="Times New Roman"/>
                <w:szCs w:val="21"/>
                <w:lang w:eastAsia="zh-CN"/>
              </w:rPr>
              <w:t>近年来，公司先后建立了“安徽省企业技术中心”“安徽省橡胶防老化助剂工程技术研究中心”和“安徽圣奥绿色橡胶助剂院士工作站”等科研平台。其主要产品防老剂6PPD及中间体RT培司的核心工艺技术均处于世界领先水平。2018年，圣奥化学参与完成的“取代芳胺系列产品绿色催化合成关键技术与工业应用”项目荣获国家技术发明奖二等奖。2019年6月，公司入选工信部第一批专精特新“小巨人”企业名单。2020年11月16日，公司荣获“2020年国家技术创新示范企业”。</w:t>
            </w:r>
          </w:p>
          <w:p w14:paraId="541EFB1A">
            <w:pPr>
              <w:ind w:firstLine="420" w:firstLineChars="200"/>
              <w:jc w:val="left"/>
              <w:rPr>
                <w:rFonts w:hint="eastAsia" w:ascii="宋体" w:hAnsi="宋体" w:eastAsia="宋体" w:cs="Times New Roman"/>
                <w:szCs w:val="21"/>
                <w:lang w:eastAsia="zh-CN"/>
              </w:rPr>
            </w:pPr>
            <w:r>
              <w:rPr>
                <w:rFonts w:hint="eastAsia" w:ascii="宋体" w:hAnsi="宋体" w:eastAsia="宋体" w:cs="Times New Roman"/>
                <w:szCs w:val="21"/>
                <w:lang w:eastAsia="zh-CN"/>
              </w:rPr>
              <w:t>公司财务负责人许建超表示：“‘十三五’期间，公司研发费用加计扣除累计超过3000万元，这些政策红利扩大了公司的利润空间，使企业有更多资金投入研发，为我们在产业链中高端环节的竞争按下了‘快进键’。”</w:t>
            </w:r>
          </w:p>
          <w:p w14:paraId="24ADD1A3">
            <w:pPr>
              <w:pStyle w:val="7"/>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ind w:left="0" w:right="0" w:firstLine="300" w:firstLineChars="200"/>
              <w:jc w:val="left"/>
              <w:textAlignment w:val="auto"/>
              <w:rPr>
                <w:rFonts w:hint="default" w:ascii="å¾®è½¯é›…é»‘" w:hAnsi="å¾®è½¯é›…é»‘" w:eastAsia="å¾®è½¯é›…é»‘" w:cs="å¾®è½¯é›…é»‘"/>
                <w:i w:val="0"/>
                <w:iCs w:val="0"/>
                <w:caps w:val="0"/>
                <w:color w:val="333333"/>
                <w:spacing w:val="0"/>
                <w:sz w:val="15"/>
                <w:szCs w:val="15"/>
              </w:rPr>
            </w:pPr>
          </w:p>
          <w:p w14:paraId="1A8385DD">
            <w:pPr>
              <w:adjustRightInd w:val="0"/>
              <w:snapToGrid w:val="0"/>
              <w:rPr>
                <w:rFonts w:hint="eastAsia"/>
                <w:b/>
                <w:bCs/>
              </w:rPr>
            </w:pPr>
          </w:p>
          <w:p w14:paraId="74C5BAA2">
            <w:pPr>
              <w:adjustRightInd w:val="0"/>
              <w:snapToGrid w:val="0"/>
              <w:rPr>
                <w:rFonts w:hint="eastAsia"/>
                <w:bCs/>
              </w:rPr>
            </w:pPr>
          </w:p>
          <w:p w14:paraId="716AF053">
            <w:pPr>
              <w:adjustRightInd w:val="0"/>
              <w:snapToGrid w:val="0"/>
              <w:spacing w:line="320" w:lineRule="exact"/>
              <w:jc w:val="left"/>
              <w:rPr>
                <w:color w:val="FF0000"/>
              </w:rPr>
            </w:pPr>
            <w:r>
              <w:rPr>
                <w:rFonts w:hint="eastAsia"/>
                <w:color w:val="FF0000"/>
              </w:rPr>
              <w:t>【讲授新课】</w:t>
            </w:r>
          </w:p>
          <w:p w14:paraId="414C8175">
            <w:pPr>
              <w:jc w:val="center"/>
              <w:outlineLvl w:val="1"/>
              <w:rPr>
                <w:rFonts w:hint="eastAsia" w:ascii="宋体" w:hAnsi="宋体" w:cs="宋体"/>
                <w:b/>
                <w:bCs/>
                <w:spacing w:val="-10"/>
                <w:szCs w:val="21"/>
              </w:rPr>
            </w:pPr>
            <w:bookmarkStart w:id="7" w:name="_Toc10937"/>
            <w:r>
              <w:rPr>
                <w:rFonts w:hint="eastAsia" w:ascii="宋体" w:hAnsi="宋体" w:cs="宋体"/>
                <w:b/>
                <w:bCs/>
                <w:spacing w:val="-10"/>
                <w:szCs w:val="21"/>
                <w:lang w:val="en-US" w:eastAsia="zh-CN"/>
              </w:rPr>
              <w:t xml:space="preserve">任务三  </w:t>
            </w:r>
            <w:r>
              <w:rPr>
                <w:rFonts w:hint="eastAsia" w:ascii="宋体" w:hAnsi="宋体" w:cs="宋体"/>
                <w:b/>
                <w:bCs/>
                <w:spacing w:val="-10"/>
                <w:szCs w:val="21"/>
              </w:rPr>
              <w:t>暂时性差异</w:t>
            </w:r>
            <w:bookmarkEnd w:id="7"/>
          </w:p>
          <w:p w14:paraId="38272650">
            <w:pPr>
              <w:ind w:firstLine="380" w:firstLineChars="200"/>
              <w:jc w:val="left"/>
              <w:rPr>
                <w:rFonts w:hint="eastAsia" w:ascii="宋体" w:hAnsi="宋体" w:cs="宋体"/>
                <w:spacing w:val="-10"/>
                <w:szCs w:val="21"/>
              </w:rPr>
            </w:pPr>
            <w:r>
              <w:rPr>
                <w:rFonts w:hint="eastAsia" w:ascii="宋体" w:hAnsi="宋体" w:cs="宋体"/>
                <w:spacing w:val="-10"/>
                <w:szCs w:val="21"/>
              </w:rPr>
              <w:t>因资产或负债的账面价值与其计税基础不同而产生的差异称为暂时性差异。根据暂时性差异对未来期间应税金额影响的不同，分为应纳税暂时性差异和可抵扣暂时性差异。</w:t>
            </w:r>
          </w:p>
          <w:p w14:paraId="28441A13">
            <w:pPr>
              <w:jc w:val="left"/>
              <w:outlineLvl w:val="2"/>
              <w:rPr>
                <w:rFonts w:hint="eastAsia" w:ascii="宋体" w:hAnsi="宋体" w:cs="宋体"/>
                <w:b/>
                <w:bCs/>
                <w:spacing w:val="-10"/>
                <w:szCs w:val="21"/>
              </w:rPr>
            </w:pPr>
            <w:bookmarkStart w:id="8" w:name="_Toc27076"/>
            <w:r>
              <w:rPr>
                <w:rFonts w:hint="eastAsia" w:ascii="宋体" w:hAnsi="宋体" w:cs="宋体"/>
                <w:b/>
                <w:bCs/>
                <w:spacing w:val="-10"/>
                <w:szCs w:val="21"/>
                <w:lang w:val="en-US" w:eastAsia="zh-CN"/>
              </w:rPr>
              <w:t>一、</w:t>
            </w:r>
            <w:r>
              <w:rPr>
                <w:rFonts w:hint="eastAsia" w:ascii="宋体" w:hAnsi="宋体" w:cs="宋体"/>
                <w:b/>
                <w:bCs/>
                <w:spacing w:val="-10"/>
                <w:szCs w:val="21"/>
              </w:rPr>
              <w:t>应纳税暂时性差异</w:t>
            </w:r>
            <w:bookmarkEnd w:id="8"/>
          </w:p>
          <w:p w14:paraId="38B60129">
            <w:pPr>
              <w:ind w:firstLine="380" w:firstLineChars="200"/>
              <w:jc w:val="left"/>
              <w:rPr>
                <w:rFonts w:hint="eastAsia" w:ascii="宋体" w:hAnsi="宋体" w:cs="宋体"/>
                <w:spacing w:val="-10"/>
                <w:szCs w:val="21"/>
              </w:rPr>
            </w:pPr>
            <w:r>
              <w:rPr>
                <w:rFonts w:hint="eastAsia" w:ascii="宋体" w:hAnsi="宋体" w:cs="宋体"/>
                <w:spacing w:val="-10"/>
                <w:szCs w:val="21"/>
              </w:rPr>
              <w:t>应纳税暂时性差异是指在确定未来收回资产或清偿负债期间的应纳税所得额时，将导致产生应税金额的暂时性差异。该差异在未来期间转回时，会增加转回期间的应纳税所得额，即在未来期间不考虑该事项影响的应纳税所得额的基础上，由于该暂时性差异的转回，会进一步增加转回期间的应纳税所得额和应交所得税金额。</w:t>
            </w:r>
          </w:p>
          <w:p w14:paraId="549B3B36">
            <w:pPr>
              <w:ind w:firstLine="380" w:firstLineChars="200"/>
              <w:jc w:val="left"/>
              <w:rPr>
                <w:rFonts w:hint="eastAsia" w:ascii="宋体" w:hAnsi="宋体" w:cs="宋体"/>
                <w:spacing w:val="-10"/>
                <w:szCs w:val="21"/>
              </w:rPr>
            </w:pPr>
            <w:r>
              <w:rPr>
                <w:rFonts w:hint="eastAsia" w:ascii="宋体" w:hAnsi="宋体" w:cs="宋体"/>
                <w:spacing w:val="-10"/>
                <w:szCs w:val="21"/>
              </w:rPr>
              <w:t>应纳税暂时性差异通常产生于以下情况：</w:t>
            </w:r>
          </w:p>
          <w:p w14:paraId="2E1B95EF">
            <w:pPr>
              <w:ind w:firstLine="382" w:firstLineChars="200"/>
              <w:jc w:val="left"/>
              <w:rPr>
                <w:rFonts w:hint="eastAsia" w:ascii="宋体" w:hAnsi="宋体" w:cs="宋体"/>
                <w:b/>
                <w:bCs/>
                <w:spacing w:val="-10"/>
                <w:szCs w:val="21"/>
              </w:rPr>
            </w:pPr>
            <w:r>
              <w:rPr>
                <w:rFonts w:hint="eastAsia" w:ascii="宋体" w:hAnsi="宋体" w:cs="宋体"/>
                <w:b/>
                <w:bCs/>
                <w:spacing w:val="-10"/>
                <w:szCs w:val="21"/>
              </w:rPr>
              <w:t>(</w:t>
            </w:r>
            <w:r>
              <w:rPr>
                <w:rFonts w:hint="eastAsia" w:ascii="宋体" w:hAnsi="宋体" w:cs="宋体"/>
                <w:b/>
                <w:bCs/>
                <w:spacing w:val="-10"/>
                <w:szCs w:val="21"/>
                <w:lang w:val="en-US" w:eastAsia="zh-CN"/>
              </w:rPr>
              <w:t>一</w:t>
            </w:r>
            <w:r>
              <w:rPr>
                <w:rFonts w:hint="eastAsia" w:ascii="宋体" w:hAnsi="宋体" w:cs="宋体"/>
                <w:b/>
                <w:bCs/>
                <w:spacing w:val="-10"/>
                <w:szCs w:val="21"/>
              </w:rPr>
              <w:t>)资产的账面价值大于其计税基础</w:t>
            </w:r>
          </w:p>
          <w:p w14:paraId="478EF286">
            <w:pPr>
              <w:ind w:firstLine="380" w:firstLineChars="200"/>
              <w:jc w:val="left"/>
              <w:rPr>
                <w:rFonts w:hint="eastAsia" w:ascii="宋体" w:hAnsi="宋体" w:cs="宋体"/>
                <w:spacing w:val="-10"/>
                <w:szCs w:val="21"/>
              </w:rPr>
            </w:pPr>
            <w:r>
              <w:rPr>
                <w:rFonts w:hint="eastAsia" w:ascii="宋体" w:hAnsi="宋体" w:cs="宋体"/>
                <w:spacing w:val="-10"/>
                <w:szCs w:val="21"/>
              </w:rPr>
              <w:t>资产的账面价值，代表的是企业在持续使用及最终出售该项资产时会取得的经济利益的总额，而计税基础代表的是一项资产在未来期间可予税前扣除的总金额。资产的账面价值大于其计税基础，该项资产未来期间产生的经济利益不能全部税前抵扣，两者之间的差额需要交税，产生应纳税暂时性差异。例如，一项资产的账面价值为500万元，计税基础如为375万元，两者之间的差额会造成未来期间应纳税所得额和应交所得税的增加，在其产生当期，应确认相关的递延所得税负债。</w:t>
            </w:r>
          </w:p>
          <w:p w14:paraId="61FB387E">
            <w:pPr>
              <w:ind w:firstLine="382" w:firstLineChars="200"/>
              <w:jc w:val="left"/>
              <w:rPr>
                <w:rFonts w:hint="eastAsia" w:ascii="宋体" w:hAnsi="宋体" w:cs="宋体"/>
                <w:b/>
                <w:bCs/>
                <w:spacing w:val="-10"/>
                <w:szCs w:val="21"/>
              </w:rPr>
            </w:pPr>
            <w:r>
              <w:rPr>
                <w:rFonts w:hint="eastAsia" w:ascii="宋体" w:hAnsi="宋体" w:cs="宋体"/>
                <w:b/>
                <w:bCs/>
                <w:spacing w:val="-10"/>
                <w:szCs w:val="21"/>
              </w:rPr>
              <w:t>(</w:t>
            </w:r>
            <w:r>
              <w:rPr>
                <w:rFonts w:hint="eastAsia" w:ascii="宋体" w:hAnsi="宋体" w:cs="宋体"/>
                <w:b/>
                <w:bCs/>
                <w:spacing w:val="-10"/>
                <w:szCs w:val="21"/>
                <w:lang w:val="en-US" w:eastAsia="zh-CN"/>
              </w:rPr>
              <w:t>二</w:t>
            </w:r>
            <w:r>
              <w:rPr>
                <w:rFonts w:hint="eastAsia" w:ascii="宋体" w:hAnsi="宋体" w:cs="宋体"/>
                <w:b/>
                <w:bCs/>
                <w:spacing w:val="-10"/>
                <w:szCs w:val="21"/>
              </w:rPr>
              <w:t>)负债的账面价值小于其计税基础</w:t>
            </w:r>
          </w:p>
          <w:p w14:paraId="60FF5104">
            <w:pPr>
              <w:ind w:firstLine="380" w:firstLineChars="200"/>
              <w:jc w:val="left"/>
              <w:rPr>
                <w:rFonts w:hint="eastAsia" w:ascii="宋体" w:hAnsi="宋体" w:eastAsia="宋体" w:cs="宋体"/>
                <w:spacing w:val="-10"/>
                <w:szCs w:val="21"/>
                <w:lang w:eastAsia="zh-CN"/>
              </w:rPr>
            </w:pPr>
            <w:r>
              <w:rPr>
                <w:rFonts w:hint="eastAsia" w:ascii="宋体" w:hAnsi="宋体" w:eastAsia="宋体" w:cs="宋体"/>
                <w:spacing w:val="-10"/>
                <w:szCs w:val="21"/>
              </w:rPr>
              <w:t>负债的账面价值为企业预计在未来期间清偿该项负债时的经济利益流出，而其计税基础代表的是账面价值在扣除税法规定未来期间允许税前扣除的金额之后的差额。因负债的账面价值与其计税基础不同产生的暂时性差异，本质上是税法规定就该项负债在未来期间可以税前扣除的金额(即与该项负债相关的费用支出在未来期间可予税前扣除的金额)。负债的账面价值小于其计税基础，则意味着就该项负债在未来期间可以税前抵扣的金额为负数，即应在未来期间应纳税所得额的基础上调增，增加未来期间的应纳税所得额和应交所得税金额，产生应纳税暂时性差异，应确认相关的递延所得税负债</w:t>
            </w:r>
            <w:r>
              <w:rPr>
                <w:rFonts w:hint="eastAsia" w:ascii="宋体" w:hAnsi="宋体" w:eastAsia="宋体" w:cs="宋体"/>
                <w:spacing w:val="-10"/>
                <w:szCs w:val="21"/>
                <w:lang w:eastAsia="zh-CN"/>
              </w:rPr>
              <w:t>。</w:t>
            </w:r>
          </w:p>
          <w:p w14:paraId="592B300E">
            <w:pPr>
              <w:jc w:val="left"/>
              <w:outlineLvl w:val="2"/>
              <w:rPr>
                <w:rFonts w:hint="eastAsia" w:ascii="宋体" w:hAnsi="宋体" w:cs="宋体"/>
                <w:b/>
                <w:bCs/>
                <w:spacing w:val="-10"/>
                <w:szCs w:val="21"/>
              </w:rPr>
            </w:pPr>
            <w:bookmarkStart w:id="9" w:name="_Toc22127"/>
            <w:r>
              <w:rPr>
                <w:rFonts w:hint="eastAsia" w:ascii="宋体" w:hAnsi="宋体" w:cs="宋体"/>
                <w:b/>
                <w:bCs/>
                <w:spacing w:val="-10"/>
                <w:szCs w:val="21"/>
                <w:lang w:val="en-US" w:eastAsia="zh-CN"/>
              </w:rPr>
              <w:t>二、</w:t>
            </w:r>
            <w:r>
              <w:rPr>
                <w:rFonts w:hint="eastAsia" w:ascii="宋体" w:hAnsi="宋体" w:cs="宋体"/>
                <w:b/>
                <w:bCs/>
                <w:spacing w:val="-10"/>
                <w:szCs w:val="21"/>
              </w:rPr>
              <w:t>可抵扣暂时性差异</w:t>
            </w:r>
            <w:bookmarkEnd w:id="9"/>
          </w:p>
          <w:p w14:paraId="2B7D5611">
            <w:pPr>
              <w:ind w:firstLine="380" w:firstLineChars="200"/>
              <w:jc w:val="left"/>
              <w:rPr>
                <w:rFonts w:hint="eastAsia" w:ascii="宋体" w:hAnsi="宋体" w:cs="宋体"/>
                <w:spacing w:val="-10"/>
                <w:szCs w:val="21"/>
              </w:rPr>
            </w:pPr>
            <w:r>
              <w:rPr>
                <w:rFonts w:hint="eastAsia" w:ascii="宋体" w:hAnsi="宋体" w:cs="宋体"/>
                <w:spacing w:val="-10"/>
                <w:szCs w:val="21"/>
              </w:rPr>
              <w:t>可抵扣暂时性差异是指在确定未来收回资产或清偿负债期间的应纳税所得额时，将导致产生可抵扣金额的暂时性差异。该差异在未来期间转回时，会减少转回期间的应纳税所得额，减少未来期间的应交所得税。在该暂时性差异产生当期，应当确认相关的递延所得税资产。</w:t>
            </w:r>
          </w:p>
          <w:p w14:paraId="0FC0D879">
            <w:pPr>
              <w:ind w:firstLine="380" w:firstLineChars="200"/>
              <w:jc w:val="left"/>
              <w:rPr>
                <w:rFonts w:hint="eastAsia" w:ascii="宋体" w:hAnsi="宋体" w:cs="宋体"/>
                <w:spacing w:val="-10"/>
                <w:szCs w:val="21"/>
              </w:rPr>
            </w:pPr>
            <w:r>
              <w:rPr>
                <w:rFonts w:hint="eastAsia" w:ascii="宋体" w:hAnsi="宋体" w:cs="宋体"/>
                <w:spacing w:val="-10"/>
                <w:szCs w:val="21"/>
              </w:rPr>
              <w:t>可抵扣暂时性差异一般产生于以下情况：</w:t>
            </w:r>
          </w:p>
          <w:p w14:paraId="772ACD4D">
            <w:pPr>
              <w:ind w:firstLine="382" w:firstLineChars="200"/>
              <w:jc w:val="left"/>
              <w:rPr>
                <w:rFonts w:hint="eastAsia" w:ascii="宋体" w:hAnsi="宋体" w:cs="宋体"/>
                <w:b/>
                <w:bCs/>
                <w:spacing w:val="-10"/>
                <w:szCs w:val="21"/>
              </w:rPr>
            </w:pPr>
            <w:r>
              <w:rPr>
                <w:rFonts w:hint="eastAsia" w:ascii="宋体" w:hAnsi="宋体" w:cs="宋体"/>
                <w:b/>
                <w:bCs/>
                <w:spacing w:val="-10"/>
                <w:szCs w:val="21"/>
              </w:rPr>
              <w:t>(</w:t>
            </w:r>
            <w:r>
              <w:rPr>
                <w:rFonts w:hint="eastAsia" w:ascii="宋体" w:hAnsi="宋体" w:cs="宋体"/>
                <w:b/>
                <w:bCs/>
                <w:spacing w:val="-10"/>
                <w:szCs w:val="21"/>
                <w:lang w:val="en-US" w:eastAsia="zh-CN"/>
              </w:rPr>
              <w:t>一</w:t>
            </w:r>
            <w:r>
              <w:rPr>
                <w:rFonts w:hint="eastAsia" w:ascii="宋体" w:hAnsi="宋体" w:cs="宋体"/>
                <w:b/>
                <w:bCs/>
                <w:spacing w:val="-10"/>
                <w:szCs w:val="21"/>
              </w:rPr>
              <w:t>)资产的账面价值小于其计税基础</w:t>
            </w:r>
          </w:p>
          <w:p w14:paraId="5D9513D9">
            <w:pPr>
              <w:ind w:firstLine="380" w:firstLineChars="200"/>
              <w:jc w:val="left"/>
              <w:rPr>
                <w:rFonts w:hint="eastAsia" w:ascii="宋体" w:hAnsi="宋体" w:cs="宋体"/>
                <w:spacing w:val="-10"/>
                <w:szCs w:val="21"/>
              </w:rPr>
            </w:pPr>
            <w:r>
              <w:rPr>
                <w:rFonts w:hint="eastAsia" w:ascii="宋体" w:hAnsi="宋体" w:cs="宋体"/>
                <w:spacing w:val="-10"/>
                <w:szCs w:val="21"/>
              </w:rPr>
              <w:t>从经济含义来看，资产在未来期间产生的经济利益少，按照税法规定允许税前扣除的金额多，则企业在未来期间可以减少应纳税所得额，并减少应交所得税，形成可抵扣暂时性差异。</w:t>
            </w:r>
          </w:p>
          <w:p w14:paraId="46DC1E71">
            <w:pPr>
              <w:ind w:firstLine="382" w:firstLineChars="200"/>
              <w:jc w:val="left"/>
              <w:rPr>
                <w:rFonts w:hint="eastAsia" w:ascii="宋体" w:hAnsi="宋体" w:cs="宋体"/>
                <w:b/>
                <w:bCs/>
                <w:spacing w:val="-10"/>
                <w:szCs w:val="21"/>
              </w:rPr>
            </w:pPr>
            <w:r>
              <w:rPr>
                <w:rFonts w:hint="eastAsia" w:ascii="宋体" w:hAnsi="宋体" w:cs="宋体"/>
                <w:b/>
                <w:bCs/>
                <w:spacing w:val="-10"/>
                <w:szCs w:val="21"/>
              </w:rPr>
              <w:t>(</w:t>
            </w:r>
            <w:r>
              <w:rPr>
                <w:rFonts w:hint="eastAsia" w:ascii="宋体" w:hAnsi="宋体" w:cs="宋体"/>
                <w:b/>
                <w:bCs/>
                <w:spacing w:val="-10"/>
                <w:szCs w:val="21"/>
                <w:lang w:val="en-US" w:eastAsia="zh-CN"/>
              </w:rPr>
              <w:t>二</w:t>
            </w:r>
            <w:r>
              <w:rPr>
                <w:rFonts w:hint="eastAsia" w:ascii="宋体" w:hAnsi="宋体" w:cs="宋体"/>
                <w:b/>
                <w:bCs/>
                <w:spacing w:val="-10"/>
                <w:szCs w:val="21"/>
              </w:rPr>
              <w:t>)负债的账面价值大于其计税基础</w:t>
            </w:r>
          </w:p>
          <w:p w14:paraId="3F6EF8C8">
            <w:pPr>
              <w:ind w:firstLine="380" w:firstLineChars="200"/>
              <w:jc w:val="left"/>
              <w:rPr>
                <w:rFonts w:hint="eastAsia" w:ascii="宋体" w:hAnsi="宋体" w:cs="宋体"/>
                <w:spacing w:val="-10"/>
                <w:szCs w:val="21"/>
              </w:rPr>
            </w:pPr>
            <w:r>
              <w:rPr>
                <w:rFonts w:hint="eastAsia" w:ascii="宋体" w:hAnsi="宋体" w:cs="宋体"/>
                <w:spacing w:val="-10"/>
                <w:szCs w:val="21"/>
              </w:rPr>
              <w:t>负债产生的暂时性差异，实质上是税法规定就该项负债可以在未来期间税前扣除的金额。一项负债的账面价值大于其计税基础，意味着未来期间按照税法规定构成负债的全部或部分金额可以自未来应税经济利益中扣除，减少未来期间的应纳税所得额和应交所得税，产生可抵扣暂时性差异。</w:t>
            </w:r>
          </w:p>
          <w:p w14:paraId="48F3681F">
            <w:pPr>
              <w:ind w:firstLine="380" w:firstLineChars="200"/>
              <w:jc w:val="left"/>
              <w:rPr>
                <w:rFonts w:hint="eastAsia" w:ascii="宋体" w:hAnsi="宋体" w:cs="宋体"/>
                <w:spacing w:val="-10"/>
                <w:szCs w:val="21"/>
              </w:rPr>
            </w:pPr>
            <w:r>
              <w:rPr>
                <w:rFonts w:hint="eastAsia" w:ascii="宋体" w:hAnsi="宋体" w:cs="宋体"/>
                <w:spacing w:val="-10"/>
                <w:szCs w:val="21"/>
              </w:rPr>
              <w:t>对于按照税法规定，可以结转以后年度的未弥补亏损及税款抵减，虽不是因资产、负债的账面价值与计税基础不同产生的，但本质上可抵扣亏损和税款抵减与可抵扣暂时性差异具有同样的作用，均能够减少未来期间的应纳税所得额，进而减少未来期间的应交所得税。在会计处理上，视同可抵扣暂时性差异。</w:t>
            </w:r>
          </w:p>
          <w:p w14:paraId="7EBA2DE0">
            <w:pPr>
              <w:ind w:firstLine="380" w:firstLineChars="200"/>
              <w:jc w:val="left"/>
              <w:rPr>
                <w:rFonts w:hint="eastAsia" w:ascii="宋体" w:hAnsi="宋体" w:cs="宋体"/>
                <w:spacing w:val="-10"/>
                <w:szCs w:val="21"/>
              </w:rPr>
            </w:pPr>
          </w:p>
          <w:p w14:paraId="0F7AD435">
            <w:pPr>
              <w:jc w:val="center"/>
              <w:outlineLvl w:val="1"/>
              <w:rPr>
                <w:rFonts w:hint="default" w:ascii="宋体" w:hAnsi="宋体" w:cs="宋体"/>
                <w:b/>
                <w:bCs/>
                <w:spacing w:val="-10"/>
                <w:szCs w:val="21"/>
                <w:lang w:val="en-US" w:eastAsia="zh-CN"/>
              </w:rPr>
            </w:pPr>
            <w:bookmarkStart w:id="10" w:name="_Toc13119"/>
            <w:r>
              <w:rPr>
                <w:rFonts w:hint="eastAsia" w:ascii="宋体" w:hAnsi="宋体" w:cs="宋体"/>
                <w:b/>
                <w:bCs/>
                <w:spacing w:val="-10"/>
                <w:szCs w:val="21"/>
                <w:lang w:val="en-US" w:eastAsia="zh-CN"/>
              </w:rPr>
              <w:t>任务四  递延所得税资产及负债的确认和计量</w:t>
            </w:r>
            <w:bookmarkEnd w:id="10"/>
          </w:p>
          <w:p w14:paraId="6EB3B3A7">
            <w:pPr>
              <w:jc w:val="left"/>
              <w:outlineLvl w:val="2"/>
              <w:rPr>
                <w:rFonts w:hint="eastAsia" w:ascii="宋体" w:hAnsi="宋体" w:cs="宋体"/>
                <w:b/>
                <w:bCs/>
                <w:spacing w:val="-10"/>
                <w:szCs w:val="21"/>
              </w:rPr>
            </w:pPr>
            <w:bookmarkStart w:id="11" w:name="_Toc5066"/>
            <w:r>
              <w:rPr>
                <w:rFonts w:hint="eastAsia" w:ascii="宋体" w:hAnsi="宋体" w:cs="宋体"/>
                <w:b/>
                <w:bCs/>
                <w:spacing w:val="-10"/>
                <w:szCs w:val="21"/>
                <w:lang w:val="en-US" w:eastAsia="zh-CN"/>
              </w:rPr>
              <w:t>一、</w:t>
            </w:r>
            <w:r>
              <w:rPr>
                <w:rFonts w:hint="eastAsia" w:ascii="宋体" w:hAnsi="宋体" w:cs="宋体"/>
                <w:b/>
                <w:bCs/>
                <w:spacing w:val="-10"/>
                <w:szCs w:val="21"/>
              </w:rPr>
              <w:t>递延所得税资产的确认和计量</w:t>
            </w:r>
            <w:bookmarkEnd w:id="11"/>
          </w:p>
          <w:p w14:paraId="6FE7863B">
            <w:pPr>
              <w:ind w:firstLine="382" w:firstLineChars="200"/>
              <w:jc w:val="left"/>
              <w:rPr>
                <w:rFonts w:hint="eastAsia" w:ascii="宋体" w:hAnsi="宋体" w:cs="宋体"/>
                <w:b/>
                <w:bCs/>
                <w:spacing w:val="-10"/>
                <w:szCs w:val="21"/>
              </w:rPr>
            </w:pPr>
            <w:r>
              <w:rPr>
                <w:rFonts w:hint="eastAsia" w:ascii="宋体" w:hAnsi="宋体" w:cs="宋体"/>
                <w:b/>
                <w:bCs/>
                <w:spacing w:val="-10"/>
                <w:szCs w:val="21"/>
                <w:lang w:eastAsia="zh-CN"/>
              </w:rPr>
              <w:t>（</w:t>
            </w:r>
            <w:r>
              <w:rPr>
                <w:rFonts w:hint="eastAsia" w:ascii="宋体" w:hAnsi="宋体" w:cs="宋体"/>
                <w:b/>
                <w:bCs/>
                <w:spacing w:val="-10"/>
                <w:szCs w:val="21"/>
                <w:lang w:val="en-US" w:eastAsia="zh-CN"/>
              </w:rPr>
              <w:t>一</w:t>
            </w:r>
            <w:r>
              <w:rPr>
                <w:rFonts w:hint="eastAsia" w:ascii="宋体" w:hAnsi="宋体" w:cs="宋体"/>
                <w:b/>
                <w:bCs/>
                <w:spacing w:val="-10"/>
                <w:szCs w:val="21"/>
                <w:lang w:eastAsia="zh-CN"/>
              </w:rPr>
              <w:t>）</w:t>
            </w:r>
            <w:r>
              <w:rPr>
                <w:rFonts w:hint="eastAsia" w:ascii="宋体" w:hAnsi="宋体" w:cs="宋体"/>
                <w:b/>
                <w:bCs/>
                <w:spacing w:val="-10"/>
                <w:szCs w:val="21"/>
              </w:rPr>
              <w:t>递延所得税资产的确认</w:t>
            </w:r>
          </w:p>
          <w:p w14:paraId="35F71A88">
            <w:pPr>
              <w:ind w:firstLine="380" w:firstLineChars="200"/>
              <w:jc w:val="left"/>
              <w:rPr>
                <w:rFonts w:hint="eastAsia" w:ascii="宋体" w:hAnsi="宋体" w:cs="宋体"/>
                <w:spacing w:val="-10"/>
                <w:szCs w:val="21"/>
              </w:rPr>
            </w:pPr>
            <w:r>
              <w:rPr>
                <w:rFonts w:hint="eastAsia" w:ascii="宋体" w:hAnsi="宋体" w:cs="宋体"/>
                <w:spacing w:val="-10"/>
                <w:szCs w:val="21"/>
                <w:lang w:val="en-US" w:eastAsia="zh-CN"/>
              </w:rPr>
              <w:t>1.</w:t>
            </w:r>
            <w:r>
              <w:rPr>
                <w:rFonts w:hint="eastAsia" w:ascii="宋体" w:hAnsi="宋体" w:cs="宋体"/>
                <w:spacing w:val="-10"/>
                <w:szCs w:val="21"/>
              </w:rPr>
              <w:t>确认递延所得税资产的一般原则</w:t>
            </w:r>
          </w:p>
          <w:p w14:paraId="3975FCEC">
            <w:pPr>
              <w:ind w:firstLine="380" w:firstLineChars="200"/>
              <w:jc w:val="left"/>
              <w:rPr>
                <w:rFonts w:hint="eastAsia" w:ascii="宋体" w:hAnsi="宋体" w:cs="宋体"/>
                <w:spacing w:val="-10"/>
                <w:szCs w:val="21"/>
              </w:rPr>
            </w:pPr>
            <w:r>
              <w:rPr>
                <w:rFonts w:hint="eastAsia" w:ascii="宋体" w:hAnsi="宋体" w:cs="宋体"/>
                <w:spacing w:val="-10"/>
                <w:szCs w:val="21"/>
              </w:rPr>
              <w:t>资产、负债的账面价值与其计税基础不同产生可抵扣暂时性差异的，在估计未来期间能够取得足够的应纳税所得额用以利用该可抵扣暂时性差异时，应当以很可能取得用来抵扣可抵扣暂时性差异的应纳税所得额为限，确认相关的递延所得税资产。在确认递延所得税资产时，同时调整所得税费用或资本公积等项目。</w:t>
            </w:r>
          </w:p>
          <w:p w14:paraId="1621CF66">
            <w:pPr>
              <w:ind w:firstLine="380" w:firstLineChars="200"/>
              <w:jc w:val="left"/>
              <w:rPr>
                <w:rFonts w:hint="eastAsia" w:ascii="宋体" w:hAnsi="宋体" w:cs="宋体"/>
                <w:spacing w:val="-10"/>
                <w:szCs w:val="21"/>
              </w:rPr>
            </w:pPr>
            <w:r>
              <w:rPr>
                <w:rFonts w:hint="default" w:ascii="宋体" w:hAnsi="宋体" w:cs="宋体"/>
                <w:spacing w:val="-10"/>
                <w:szCs w:val="21"/>
                <w:lang w:val="en-US"/>
              </w:rPr>
              <mc:AlternateContent>
                <mc:Choice Requires="wps">
                  <w:drawing>
                    <wp:anchor distT="0" distB="0" distL="114300" distR="114300" simplePos="0" relativeHeight="251659264" behindDoc="0" locked="0" layoutInCell="1" allowOverlap="1">
                      <wp:simplePos x="0" y="0"/>
                      <wp:positionH relativeFrom="column">
                        <wp:posOffset>12195810</wp:posOffset>
                      </wp:positionH>
                      <wp:positionV relativeFrom="paragraph">
                        <wp:posOffset>2545715</wp:posOffset>
                      </wp:positionV>
                      <wp:extent cx="147955" cy="2755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47955" cy="275590"/>
                              </a:xfrm>
                              <a:prstGeom prst="rect">
                                <a:avLst/>
                              </a:prstGeom>
                              <a:noFill/>
                              <a:ln>
                                <a:noFill/>
                              </a:ln>
                            </wps:spPr>
                            <wps:txbx>
                              <w:txbxContent>
                                <w:p w14:paraId="5F29D5D6">
                                  <w:pPr>
                                    <w:spacing w:before="19" w:line="191" w:lineRule="auto"/>
                                    <w:jc w:val="right"/>
                                    <w:rPr>
                                      <w:rFonts w:eastAsia="Times New Roman"/>
                                      <w:sz w:val="43"/>
                                      <w:szCs w:val="43"/>
                                    </w:rPr>
                                  </w:pPr>
                                  <w:r>
                                    <w:rPr>
                                      <w:rFonts w:eastAsia="Times New Roman"/>
                                      <w:spacing w:val="-23"/>
                                      <w:sz w:val="43"/>
                                      <w:szCs w:val="43"/>
                                    </w:rPr>
                                    <w:t>8</w:t>
                                  </w:r>
                                </w:p>
                              </w:txbxContent>
                            </wps:txbx>
                            <wps:bodyPr lIns="0" tIns="0" rIns="0" bIns="0" upright="1"/>
                          </wps:wsp>
                        </a:graphicData>
                      </a:graphic>
                    </wp:anchor>
                  </w:drawing>
                </mc:Choice>
                <mc:Fallback>
                  <w:pict>
                    <v:shape id="_x0000_s1026" o:spid="_x0000_s1026" o:spt="202" type="#_x0000_t202" style="position:absolute;left:0pt;margin-left:960.3pt;margin-top:200.45pt;height:21.7pt;width:11.65pt;z-index:251659264;mso-width-relative:page;mso-height-relative:page;" filled="f" stroked="f" coordsize="21600,21600" o:gfxdata="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wkc4otoAAAANAQAADwAAAAAAAAABACAAAAAiAAAAZHJzL2Rvd25yZXYueG1sUEsB&#10;AhQAFAAAAAgAh07iQHnd4BO6AQAAcQMAAA4AAAAAAAAAAQAgAAAAKQEAAGRycy9lMm9Eb2MueG1s&#10;UEsFBgAAAAAGAAYAWQEAAFUFAAAAAA==&#10;">
                      <v:path/>
                      <v:fill on="f" focussize="0,0"/>
                      <v:stroke on="f"/>
                      <v:imagedata o:title=""/>
                      <o:lock v:ext="edit" aspectratio="f"/>
                      <v:textbox inset="0mm,0mm,0mm,0mm">
                        <w:txbxContent>
                          <w:p w14:paraId="5F29D5D6">
                            <w:pPr>
                              <w:spacing w:before="19" w:line="191" w:lineRule="auto"/>
                              <w:jc w:val="right"/>
                              <w:rPr>
                                <w:rFonts w:eastAsia="Times New Roman"/>
                                <w:sz w:val="43"/>
                                <w:szCs w:val="43"/>
                              </w:rPr>
                            </w:pPr>
                            <w:r>
                              <w:rPr>
                                <w:rFonts w:eastAsia="Times New Roman"/>
                                <w:spacing w:val="-23"/>
                                <w:sz w:val="43"/>
                                <w:szCs w:val="43"/>
                              </w:rPr>
                              <w:t>8</w:t>
                            </w:r>
                          </w:p>
                        </w:txbxContent>
                      </v:textbox>
                    </v:shape>
                  </w:pict>
                </mc:Fallback>
              </mc:AlternateContent>
            </w:r>
            <w:r>
              <w:rPr>
                <w:rFonts w:hint="eastAsia" w:ascii="宋体" w:hAnsi="宋体" w:cs="宋体"/>
                <w:spacing w:val="-10"/>
                <w:szCs w:val="21"/>
                <w:lang w:val="en-US" w:eastAsia="zh-CN"/>
              </w:rPr>
              <w:t>2.</w:t>
            </w:r>
            <w:r>
              <w:rPr>
                <w:rFonts w:hint="eastAsia" w:ascii="宋体" w:hAnsi="宋体" w:cs="宋体"/>
                <w:spacing w:val="-10"/>
                <w:szCs w:val="21"/>
              </w:rPr>
              <w:t>“递延所得税资产”账户</w:t>
            </w:r>
          </w:p>
          <w:p w14:paraId="74694FDA">
            <w:pPr>
              <w:ind w:firstLine="380" w:firstLineChars="200"/>
              <w:jc w:val="left"/>
              <w:rPr>
                <w:rFonts w:hint="eastAsia" w:ascii="宋体" w:hAnsi="宋体" w:cs="宋体"/>
                <w:spacing w:val="-10"/>
                <w:szCs w:val="21"/>
              </w:rPr>
            </w:pPr>
            <w:r>
              <w:rPr>
                <w:rFonts w:hint="eastAsia" w:ascii="宋体" w:hAnsi="宋体" w:cs="宋体"/>
                <w:spacing w:val="-10"/>
                <w:szCs w:val="21"/>
              </w:rPr>
              <w:t>“递延所得税资产”账户，是用来核算企业确认的可抵扣暂时性差异产生的递延所得税资产的。资产负债表日，企业确认的递延所得税资产，借记本账户，贷记“所得税费用”账户。资产负债表日递延所得税资产的应有余额大于其账面余额的，应按其差额确认，借记本账户，贷记“所得税费用”等账户。资产负债表日递延所得税资产的应有余额小于其账面余额的差额做相反的会计分录。资产负债表日，预计未来期间很可能无法获得足够的应纳税所得额用以抵扣可抵扣暂时性差异的，按原已确认的递延所得税资产中应减记的金额，借记“所得税费用”等账户，贷记本账户。期末借方余额反映企业确认的递延所得税资产。</w:t>
            </w:r>
          </w:p>
          <w:p w14:paraId="27AAFE42">
            <w:pPr>
              <w:ind w:firstLine="382" w:firstLineChars="200"/>
              <w:jc w:val="left"/>
              <w:rPr>
                <w:rFonts w:hint="eastAsia" w:ascii="宋体" w:hAnsi="宋体" w:cs="宋体"/>
                <w:b/>
                <w:bCs/>
                <w:spacing w:val="-10"/>
                <w:szCs w:val="21"/>
              </w:rPr>
            </w:pPr>
            <w:r>
              <w:rPr>
                <w:rFonts w:hint="eastAsia" w:ascii="宋体" w:hAnsi="宋体" w:cs="宋体"/>
                <w:b/>
                <w:bCs/>
                <w:spacing w:val="-10"/>
                <w:szCs w:val="21"/>
                <w:lang w:eastAsia="zh-CN"/>
              </w:rPr>
              <w:t>（</w:t>
            </w:r>
            <w:r>
              <w:rPr>
                <w:rFonts w:hint="eastAsia" w:ascii="宋体" w:hAnsi="宋体" w:cs="宋体"/>
                <w:b/>
                <w:bCs/>
                <w:spacing w:val="-10"/>
                <w:szCs w:val="21"/>
                <w:lang w:val="en-US" w:eastAsia="zh-CN"/>
              </w:rPr>
              <w:t>二</w:t>
            </w:r>
            <w:r>
              <w:rPr>
                <w:rFonts w:hint="eastAsia" w:ascii="宋体" w:hAnsi="宋体" w:cs="宋体"/>
                <w:b/>
                <w:bCs/>
                <w:spacing w:val="-10"/>
                <w:szCs w:val="21"/>
                <w:lang w:eastAsia="zh-CN"/>
              </w:rPr>
              <w:t>）</w:t>
            </w:r>
            <w:r>
              <w:rPr>
                <w:rFonts w:hint="eastAsia" w:ascii="宋体" w:hAnsi="宋体" w:cs="宋体"/>
                <w:b/>
                <w:bCs/>
                <w:spacing w:val="-10"/>
                <w:szCs w:val="21"/>
              </w:rPr>
              <w:t>递延所得税资产的计量</w:t>
            </w:r>
          </w:p>
          <w:p w14:paraId="11E4D167">
            <w:pPr>
              <w:ind w:firstLine="380" w:firstLineChars="200"/>
              <w:jc w:val="left"/>
              <w:rPr>
                <w:rFonts w:hint="eastAsia" w:ascii="宋体" w:hAnsi="宋体" w:cs="宋体"/>
                <w:spacing w:val="-10"/>
                <w:szCs w:val="21"/>
              </w:rPr>
            </w:pPr>
            <w:r>
              <w:rPr>
                <w:rFonts w:hint="eastAsia" w:ascii="宋体" w:hAnsi="宋体" w:cs="宋体"/>
                <w:spacing w:val="-10"/>
                <w:szCs w:val="21"/>
                <w:lang w:val="en-US" w:eastAsia="zh-CN"/>
              </w:rPr>
              <w:t>1.</w:t>
            </w:r>
            <w:r>
              <w:rPr>
                <w:rFonts w:hint="eastAsia" w:ascii="宋体" w:hAnsi="宋体" w:cs="宋体"/>
                <w:spacing w:val="-10"/>
                <w:szCs w:val="21"/>
              </w:rPr>
              <w:t>适用税率的确定。确认递延所得税资产时，应估计相关可抵扣暂时性差异的转回时间，采用转回期间适用的所得税税率为基础计算确定。无论相关的可抵扣暂时性差异转回期间如何，递延所得税资产均不予折现。</w:t>
            </w:r>
          </w:p>
          <w:p w14:paraId="3FFD5FF6">
            <w:pPr>
              <w:ind w:firstLine="380" w:firstLineChars="200"/>
              <w:jc w:val="left"/>
              <w:rPr>
                <w:rFonts w:hint="eastAsia" w:ascii="宋体" w:hAnsi="宋体" w:cs="宋体"/>
                <w:spacing w:val="-10"/>
                <w:szCs w:val="21"/>
              </w:rPr>
            </w:pPr>
          </w:p>
          <w:p w14:paraId="168C02C7">
            <w:pPr>
              <w:jc w:val="left"/>
              <w:rPr>
                <w:rFonts w:hint="eastAsia" w:ascii="楷体" w:hAnsi="楷体" w:eastAsia="楷体" w:cs="楷体"/>
                <w:spacing w:val="-10"/>
                <w:szCs w:val="21"/>
              </w:rPr>
            </w:pPr>
            <w:r>
              <w:rPr>
                <w:rFonts w:hint="eastAsia" w:ascii="宋体" w:hAnsi="宋体" w:cs="宋体"/>
                <w:b/>
                <w:bCs/>
                <w:spacing w:val="-10"/>
                <w:szCs w:val="21"/>
              </w:rPr>
              <w:t>【想一想】</w:t>
            </w:r>
            <w:r>
              <w:rPr>
                <w:rFonts w:hint="eastAsia" w:ascii="楷体" w:hAnsi="楷体" w:eastAsia="楷体" w:cs="楷体"/>
                <w:spacing w:val="-10"/>
                <w:szCs w:val="21"/>
              </w:rPr>
              <w:t>为什么在确认递延所得税资产时，应采用转回期间适用的所得税税率为基础计算确定，而不是当期适用的所得税率</w:t>
            </w:r>
            <w:r>
              <w:rPr>
                <w:rFonts w:hint="eastAsia" w:ascii="楷体" w:hAnsi="楷体" w:eastAsia="楷体" w:cs="楷体"/>
                <w:spacing w:val="-10"/>
                <w:szCs w:val="21"/>
                <w:lang w:eastAsia="zh-CN"/>
              </w:rPr>
              <w:t>？</w:t>
            </w:r>
          </w:p>
          <w:p w14:paraId="1D97D638">
            <w:pPr>
              <w:ind w:firstLine="380" w:firstLineChars="200"/>
              <w:jc w:val="left"/>
              <w:rPr>
                <w:rFonts w:hint="eastAsia" w:ascii="宋体" w:hAnsi="宋体" w:cs="宋体"/>
                <w:spacing w:val="-10"/>
                <w:szCs w:val="21"/>
              </w:rPr>
            </w:pPr>
          </w:p>
          <w:p w14:paraId="1833FDC6">
            <w:pPr>
              <w:ind w:firstLine="380" w:firstLineChars="200"/>
              <w:jc w:val="left"/>
              <w:rPr>
                <w:rFonts w:hint="eastAsia" w:ascii="宋体" w:hAnsi="宋体" w:cs="宋体"/>
                <w:spacing w:val="-10"/>
                <w:szCs w:val="21"/>
              </w:rPr>
            </w:pPr>
            <w:r>
              <w:rPr>
                <w:rFonts w:hint="eastAsia" w:ascii="宋体" w:hAnsi="宋体" w:cs="宋体"/>
                <w:spacing w:val="-10"/>
                <w:szCs w:val="21"/>
                <w:lang w:val="en-US" w:eastAsia="zh-CN"/>
              </w:rPr>
              <w:t>2.</w:t>
            </w:r>
            <w:r>
              <w:rPr>
                <w:rFonts w:hint="eastAsia" w:ascii="宋体" w:hAnsi="宋体" w:cs="宋体"/>
                <w:spacing w:val="-10"/>
                <w:szCs w:val="21"/>
              </w:rPr>
              <w:t>递延所得税资产账面价值的复核。资产负债表日，企业应当对递延所得税资产的账面价值进行复核。如果未来期间很可能无法取得足够的应纳税所得额用以利用递延所得税资产的利益，应当减记“递延所得税资产”账户的账面价值。递延所得税资产的账面价值减记以后，继后期间根据新的环境和情况判断能够产生足够的应纳税所得额利用可抵扣暂时性差异，使得递延所得税资产包含的经济利益能够实现的，应相应恢复递延所得税资产的账面价值。</w:t>
            </w:r>
          </w:p>
          <w:p w14:paraId="4A54BB3A">
            <w:pPr>
              <w:jc w:val="left"/>
              <w:rPr>
                <w:rFonts w:hint="eastAsia" w:ascii="宋体" w:hAnsi="宋体" w:cs="宋体"/>
                <w:b/>
                <w:bCs/>
                <w:spacing w:val="-10"/>
                <w:szCs w:val="21"/>
              </w:rPr>
            </w:pPr>
            <w:r>
              <w:rPr>
                <w:rFonts w:hint="eastAsia" w:ascii="宋体" w:hAnsi="宋体" w:cs="宋体"/>
                <w:b/>
                <w:bCs/>
                <w:spacing w:val="-10"/>
                <w:szCs w:val="21"/>
              </w:rPr>
              <w:t>【典型案例1</w:t>
            </w:r>
            <w:r>
              <w:rPr>
                <w:rFonts w:hint="eastAsia" w:ascii="宋体" w:hAnsi="宋体" w:cs="宋体"/>
                <w:b/>
                <w:bCs/>
                <w:spacing w:val="-10"/>
                <w:szCs w:val="21"/>
                <w:lang w:val="en-US" w:eastAsia="zh-CN"/>
              </w:rPr>
              <w:t>1</w:t>
            </w:r>
            <w:r>
              <w:rPr>
                <w:rFonts w:hint="eastAsia" w:ascii="宋体" w:hAnsi="宋体" w:cs="宋体"/>
                <w:b/>
                <w:bCs/>
                <w:spacing w:val="-10"/>
                <w:szCs w:val="21"/>
              </w:rPr>
              <w:t>-</w:t>
            </w:r>
            <w:r>
              <w:rPr>
                <w:rFonts w:hint="eastAsia" w:ascii="宋体" w:hAnsi="宋体" w:cs="宋体"/>
                <w:b/>
                <w:bCs/>
                <w:spacing w:val="-10"/>
                <w:szCs w:val="21"/>
                <w:lang w:val="en-US" w:eastAsia="zh-CN"/>
              </w:rPr>
              <w:t>7</w:t>
            </w:r>
            <w:r>
              <w:rPr>
                <w:rFonts w:hint="eastAsia" w:ascii="宋体" w:hAnsi="宋体" w:cs="宋体"/>
                <w:b/>
                <w:bCs/>
                <w:spacing w:val="-10"/>
                <w:szCs w:val="21"/>
              </w:rPr>
              <w:t>】</w:t>
            </w:r>
          </w:p>
          <w:p w14:paraId="51803F7D">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L公司2</w:t>
            </w:r>
            <w:r>
              <w:rPr>
                <w:rFonts w:hint="default" w:ascii="Arial" w:hAnsi="Arial" w:eastAsia="楷体" w:cs="Arial"/>
                <w:spacing w:val="-10"/>
                <w:szCs w:val="21"/>
              </w:rPr>
              <w:t>×</w:t>
            </w:r>
            <w:r>
              <w:rPr>
                <w:rFonts w:hint="eastAsia" w:ascii="楷体" w:hAnsi="楷体" w:eastAsia="楷体" w:cs="楷体"/>
                <w:spacing w:val="-10"/>
                <w:szCs w:val="21"/>
              </w:rPr>
              <w:t>24年12月31日存货余额为</w:t>
            </w:r>
            <w:r>
              <w:rPr>
                <w:rFonts w:hint="eastAsia" w:ascii="楷体" w:hAnsi="楷体" w:eastAsia="楷体" w:cs="楷体"/>
                <w:spacing w:val="-10"/>
                <w:szCs w:val="21"/>
                <w:lang w:val="en-US" w:eastAsia="zh-CN"/>
              </w:rPr>
              <w:t>1</w:t>
            </w:r>
            <w:r>
              <w:rPr>
                <w:rFonts w:hint="eastAsia" w:ascii="楷体" w:hAnsi="楷体" w:eastAsia="楷体" w:cs="楷体"/>
                <w:spacing w:val="-10"/>
                <w:szCs w:val="21"/>
              </w:rPr>
              <w:t>000万元，该公司期末对存货计提了</w:t>
            </w:r>
            <w:r>
              <w:rPr>
                <w:rFonts w:hint="eastAsia" w:ascii="楷体" w:hAnsi="楷体" w:eastAsia="楷体" w:cs="楷体"/>
                <w:spacing w:val="-10"/>
                <w:szCs w:val="21"/>
                <w:lang w:val="en-US" w:eastAsia="zh-CN"/>
              </w:rPr>
              <w:t>5</w:t>
            </w:r>
            <w:r>
              <w:rPr>
                <w:rFonts w:hint="eastAsia" w:ascii="楷体" w:hAnsi="楷体" w:eastAsia="楷体" w:cs="楷体"/>
                <w:spacing w:val="-10"/>
                <w:szCs w:val="21"/>
              </w:rPr>
              <w:t>0万元的存货跌价准备。按照税法规定，存货跌价准备只有在存货出售时才能在税前扣除。假定该企业期初存货跌价准备的余额为零。企业适用的所得税税率为25%</w:t>
            </w:r>
            <w:r>
              <w:rPr>
                <w:rFonts w:hint="eastAsia" w:ascii="楷体" w:hAnsi="楷体" w:eastAsia="楷体" w:cs="楷体"/>
                <w:spacing w:val="-10"/>
                <w:szCs w:val="21"/>
                <w:lang w:eastAsia="zh-CN"/>
              </w:rPr>
              <w:t>，</w:t>
            </w:r>
            <w:r>
              <w:rPr>
                <w:rFonts w:hint="eastAsia" w:ascii="楷体" w:hAnsi="楷体" w:eastAsia="楷体" w:cs="楷体"/>
                <w:spacing w:val="-10"/>
                <w:szCs w:val="21"/>
              </w:rPr>
              <w:t>所得税采用资产负债表债务法进行核算。假定企业未来期间有足够的应纳税所得额用以抵扣可抵扣暂时性差异。</w:t>
            </w:r>
          </w:p>
          <w:p w14:paraId="105A2C30">
            <w:pPr>
              <w:ind w:firstLine="380" w:firstLineChars="200"/>
              <w:jc w:val="left"/>
              <w:rPr>
                <w:rFonts w:ascii="楷体" w:hAnsi="楷体" w:eastAsia="楷体" w:cs="楷体"/>
                <w:spacing w:val="-10"/>
                <w:szCs w:val="21"/>
              </w:rPr>
            </w:pPr>
            <w:r>
              <w:rPr>
                <w:rFonts w:hint="eastAsia" w:ascii="楷体" w:hAnsi="楷体" w:eastAsia="楷体" w:cs="楷体"/>
                <w:spacing w:val="-10"/>
                <w:szCs w:val="21"/>
              </w:rPr>
              <w:t>要求：编制L公司递延所得税会计分类。</w:t>
            </w:r>
          </w:p>
          <w:p w14:paraId="3FBF0A34">
            <w:pPr>
              <w:jc w:val="left"/>
              <w:rPr>
                <w:rFonts w:hint="eastAsia" w:ascii="宋体" w:hAnsi="宋体" w:cs="宋体"/>
                <w:b/>
                <w:bCs/>
                <w:spacing w:val="-10"/>
                <w:szCs w:val="21"/>
              </w:rPr>
            </w:pPr>
            <w:r>
              <w:rPr>
                <w:rFonts w:hint="eastAsia" w:ascii="宋体" w:hAnsi="宋体" w:cs="宋体"/>
                <w:b/>
                <w:bCs/>
                <w:spacing w:val="-10"/>
                <w:szCs w:val="21"/>
              </w:rPr>
              <w:t>【典型案例10-</w:t>
            </w:r>
            <w:r>
              <w:rPr>
                <w:rFonts w:hint="eastAsia" w:ascii="宋体" w:hAnsi="宋体" w:cs="宋体"/>
                <w:b/>
                <w:bCs/>
                <w:spacing w:val="-10"/>
                <w:szCs w:val="21"/>
                <w:lang w:val="en-US" w:eastAsia="zh-CN"/>
              </w:rPr>
              <w:t>7</w:t>
            </w:r>
            <w:r>
              <w:rPr>
                <w:rFonts w:hint="eastAsia" w:ascii="宋体" w:hAnsi="宋体" w:cs="宋体"/>
                <w:b/>
                <w:bCs/>
                <w:spacing w:val="-10"/>
                <w:szCs w:val="21"/>
              </w:rPr>
              <w:t>解析】</w:t>
            </w:r>
          </w:p>
          <w:p w14:paraId="1F4E6975">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该项存货在2</w:t>
            </w:r>
            <w:r>
              <w:rPr>
                <w:rFonts w:hint="default" w:ascii="Arial" w:hAnsi="Arial" w:eastAsia="楷体" w:cs="Arial"/>
                <w:spacing w:val="-10"/>
                <w:szCs w:val="21"/>
              </w:rPr>
              <w:t>×</w:t>
            </w:r>
            <w:r>
              <w:rPr>
                <w:rFonts w:hint="eastAsia" w:ascii="楷体" w:hAnsi="楷体" w:eastAsia="楷体" w:cs="楷体"/>
                <w:spacing w:val="-10"/>
                <w:szCs w:val="21"/>
              </w:rPr>
              <w:t>24年12月31日的账面价值为9</w:t>
            </w:r>
            <w:r>
              <w:rPr>
                <w:rFonts w:hint="eastAsia" w:ascii="楷体" w:hAnsi="楷体" w:eastAsia="楷体" w:cs="楷体"/>
                <w:spacing w:val="-10"/>
                <w:szCs w:val="21"/>
                <w:lang w:val="en-US" w:eastAsia="zh-CN"/>
              </w:rPr>
              <w:t>5</w:t>
            </w:r>
            <w:r>
              <w:rPr>
                <w:rFonts w:hint="eastAsia" w:ascii="楷体" w:hAnsi="楷体" w:eastAsia="楷体" w:cs="楷体"/>
                <w:spacing w:val="-10"/>
                <w:szCs w:val="21"/>
              </w:rPr>
              <w:t>0万元(</w:t>
            </w:r>
            <w:r>
              <w:rPr>
                <w:rFonts w:hint="eastAsia" w:ascii="楷体" w:hAnsi="楷体" w:eastAsia="楷体" w:cs="楷体"/>
                <w:spacing w:val="-10"/>
                <w:szCs w:val="21"/>
                <w:lang w:val="en-US" w:eastAsia="zh-CN"/>
              </w:rPr>
              <w:t>1</w:t>
            </w:r>
            <w:r>
              <w:rPr>
                <w:rFonts w:hint="eastAsia" w:ascii="楷体" w:hAnsi="楷体" w:eastAsia="楷体" w:cs="楷体"/>
                <w:spacing w:val="-10"/>
                <w:szCs w:val="21"/>
              </w:rPr>
              <w:t>000-</w:t>
            </w:r>
            <w:r>
              <w:rPr>
                <w:rFonts w:hint="eastAsia" w:ascii="楷体" w:hAnsi="楷体" w:eastAsia="楷体" w:cs="楷体"/>
                <w:spacing w:val="-10"/>
                <w:szCs w:val="21"/>
                <w:lang w:val="en-US" w:eastAsia="zh-CN"/>
              </w:rPr>
              <w:t>5</w:t>
            </w:r>
            <w:r>
              <w:rPr>
                <w:rFonts w:hint="eastAsia" w:ascii="楷体" w:hAnsi="楷体" w:eastAsia="楷体" w:cs="楷体"/>
                <w:spacing w:val="-10"/>
                <w:szCs w:val="21"/>
              </w:rPr>
              <w:t>0)</w:t>
            </w:r>
            <w:r>
              <w:rPr>
                <w:rFonts w:hint="eastAsia" w:ascii="楷体" w:hAnsi="楷体" w:eastAsia="楷体" w:cs="楷体"/>
                <w:spacing w:val="-10"/>
                <w:szCs w:val="21"/>
                <w:lang w:eastAsia="zh-CN"/>
              </w:rPr>
              <w:t>，</w:t>
            </w:r>
            <w:r>
              <w:rPr>
                <w:rFonts w:hint="eastAsia" w:ascii="楷体" w:hAnsi="楷体" w:eastAsia="楷体" w:cs="楷体"/>
                <w:spacing w:val="-10"/>
                <w:szCs w:val="21"/>
              </w:rPr>
              <w:t>其计税基础为初始账面价值</w:t>
            </w:r>
            <w:r>
              <w:rPr>
                <w:rFonts w:hint="eastAsia" w:ascii="楷体" w:hAnsi="楷体" w:eastAsia="楷体" w:cs="楷体"/>
                <w:spacing w:val="-10"/>
                <w:szCs w:val="21"/>
                <w:lang w:val="en-US" w:eastAsia="zh-CN"/>
              </w:rPr>
              <w:t>1</w:t>
            </w:r>
            <w:r>
              <w:rPr>
                <w:rFonts w:hint="eastAsia" w:ascii="楷体" w:hAnsi="楷体" w:eastAsia="楷体" w:cs="楷体"/>
                <w:spacing w:val="-10"/>
                <w:szCs w:val="21"/>
              </w:rPr>
              <w:t>000万元。该计税基础与账面价值之间产生的</w:t>
            </w:r>
            <w:r>
              <w:rPr>
                <w:rFonts w:hint="eastAsia" w:ascii="楷体" w:hAnsi="楷体" w:eastAsia="楷体" w:cs="楷体"/>
                <w:spacing w:val="-10"/>
                <w:szCs w:val="21"/>
                <w:lang w:val="en-US" w:eastAsia="zh-CN"/>
              </w:rPr>
              <w:t>5</w:t>
            </w:r>
            <w:r>
              <w:rPr>
                <w:rFonts w:hint="eastAsia" w:ascii="楷体" w:hAnsi="楷体" w:eastAsia="楷体" w:cs="楷体"/>
                <w:spacing w:val="-10"/>
                <w:szCs w:val="21"/>
              </w:rPr>
              <w:t>0万元可抵扣暂时性差异，应确认相关的递延所得税资产</w:t>
            </w:r>
            <w:r>
              <w:rPr>
                <w:rFonts w:hint="eastAsia" w:ascii="楷体" w:hAnsi="楷体" w:eastAsia="楷体" w:cs="楷体"/>
                <w:spacing w:val="-10"/>
                <w:szCs w:val="21"/>
                <w:lang w:val="en-US" w:eastAsia="zh-CN"/>
              </w:rPr>
              <w:t>1</w:t>
            </w:r>
            <w:r>
              <w:rPr>
                <w:rFonts w:hint="eastAsia" w:ascii="楷体" w:hAnsi="楷体" w:eastAsia="楷体" w:cs="楷体"/>
                <w:spacing w:val="-10"/>
                <w:szCs w:val="21"/>
              </w:rPr>
              <w:t>2</w:t>
            </w:r>
            <w:r>
              <w:rPr>
                <w:rFonts w:hint="eastAsia" w:ascii="楷体" w:hAnsi="楷体" w:eastAsia="楷体" w:cs="楷体"/>
                <w:spacing w:val="-10"/>
                <w:szCs w:val="21"/>
                <w:lang w:val="en-US" w:eastAsia="zh-CN"/>
              </w:rPr>
              <w:t>.</w:t>
            </w:r>
            <w:r>
              <w:rPr>
                <w:rFonts w:hint="eastAsia" w:ascii="楷体" w:hAnsi="楷体" w:eastAsia="楷体" w:cs="楷体"/>
                <w:spacing w:val="-10"/>
                <w:szCs w:val="21"/>
              </w:rPr>
              <w:t>5万元。编制的会计分录为：</w:t>
            </w:r>
          </w:p>
          <w:p w14:paraId="5E0B3EB6">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借：递延所得税资产</w:t>
            </w:r>
            <w:r>
              <w:rPr>
                <w:rFonts w:hint="eastAsia" w:ascii="楷体" w:hAnsi="楷体" w:eastAsia="楷体" w:cs="楷体"/>
                <w:spacing w:val="-10"/>
                <w:szCs w:val="21"/>
                <w:lang w:val="en-US" w:eastAsia="zh-CN"/>
              </w:rPr>
              <w:t>1</w:t>
            </w:r>
            <w:r>
              <w:rPr>
                <w:rFonts w:hint="eastAsia" w:ascii="楷体" w:hAnsi="楷体" w:eastAsia="楷体" w:cs="楷体"/>
                <w:spacing w:val="-10"/>
                <w:szCs w:val="21"/>
              </w:rPr>
              <w:t>25</w:t>
            </w:r>
            <w:r>
              <w:rPr>
                <w:rFonts w:hint="eastAsia" w:ascii="楷体" w:hAnsi="楷体" w:eastAsia="楷体" w:cs="楷体"/>
                <w:spacing w:val="-10"/>
                <w:szCs w:val="21"/>
                <w:lang w:val="en-US" w:eastAsia="zh-CN"/>
              </w:rPr>
              <w:t xml:space="preserve"> </w:t>
            </w:r>
            <w:r>
              <w:rPr>
                <w:rFonts w:hint="eastAsia" w:ascii="楷体" w:hAnsi="楷体" w:eastAsia="楷体" w:cs="楷体"/>
                <w:spacing w:val="-10"/>
                <w:szCs w:val="21"/>
              </w:rPr>
              <w:t>000</w:t>
            </w:r>
          </w:p>
          <w:p w14:paraId="2E84BF9B">
            <w:pPr>
              <w:ind w:firstLine="570" w:firstLineChars="300"/>
              <w:jc w:val="left"/>
              <w:rPr>
                <w:rFonts w:hint="eastAsia" w:ascii="楷体" w:hAnsi="楷体" w:eastAsia="楷体" w:cs="楷体"/>
                <w:spacing w:val="-10"/>
                <w:szCs w:val="21"/>
              </w:rPr>
            </w:pPr>
            <w:r>
              <w:rPr>
                <w:rFonts w:hint="eastAsia" w:ascii="楷体" w:hAnsi="楷体" w:eastAsia="楷体" w:cs="楷体"/>
                <w:spacing w:val="-10"/>
                <w:szCs w:val="21"/>
              </w:rPr>
              <w:t>贷：所得税费用</w:t>
            </w:r>
            <w:r>
              <w:rPr>
                <w:rFonts w:hint="eastAsia" w:ascii="楷体" w:hAnsi="楷体" w:eastAsia="楷体" w:cs="楷体"/>
                <w:spacing w:val="-10"/>
                <w:szCs w:val="21"/>
                <w:lang w:val="en-US" w:eastAsia="zh-CN"/>
              </w:rPr>
              <w:t xml:space="preserve">     1</w:t>
            </w:r>
            <w:r>
              <w:rPr>
                <w:rFonts w:hint="eastAsia" w:ascii="楷体" w:hAnsi="楷体" w:eastAsia="楷体" w:cs="楷体"/>
                <w:spacing w:val="-10"/>
                <w:szCs w:val="21"/>
              </w:rPr>
              <w:t>25</w:t>
            </w:r>
            <w:r>
              <w:rPr>
                <w:rFonts w:hint="eastAsia" w:ascii="楷体" w:hAnsi="楷体" w:eastAsia="楷体" w:cs="楷体"/>
                <w:spacing w:val="-10"/>
                <w:szCs w:val="21"/>
                <w:lang w:val="en-US" w:eastAsia="zh-CN"/>
              </w:rPr>
              <w:t xml:space="preserve"> </w:t>
            </w:r>
            <w:r>
              <w:rPr>
                <w:rFonts w:hint="eastAsia" w:ascii="楷体" w:hAnsi="楷体" w:eastAsia="楷体" w:cs="楷体"/>
                <w:spacing w:val="-10"/>
                <w:szCs w:val="21"/>
              </w:rPr>
              <w:t>000</w:t>
            </w:r>
          </w:p>
          <w:p w14:paraId="26B11D0B">
            <w:pPr>
              <w:jc w:val="left"/>
              <w:rPr>
                <w:rFonts w:hint="eastAsia" w:ascii="宋体" w:hAnsi="宋体" w:cs="宋体"/>
                <w:b/>
                <w:bCs/>
                <w:spacing w:val="-10"/>
                <w:szCs w:val="21"/>
              </w:rPr>
            </w:pPr>
            <w:r>
              <w:rPr>
                <w:rFonts w:hint="eastAsia" w:ascii="宋体" w:hAnsi="宋体" w:cs="宋体"/>
                <w:b/>
                <w:bCs/>
                <w:spacing w:val="-10"/>
                <w:szCs w:val="21"/>
              </w:rPr>
              <w:t>【</w:t>
            </w:r>
            <w:r>
              <w:rPr>
                <w:rFonts w:hint="eastAsia" w:ascii="宋体" w:hAnsi="宋体" w:cs="宋体"/>
                <w:b/>
                <w:bCs/>
                <w:spacing w:val="-10"/>
                <w:szCs w:val="21"/>
                <w:lang w:val="en-US" w:eastAsia="zh-CN"/>
              </w:rPr>
              <w:t>学中做</w:t>
            </w:r>
            <w:r>
              <w:rPr>
                <w:rFonts w:hint="eastAsia" w:ascii="宋体" w:hAnsi="宋体" w:cs="宋体"/>
                <w:b/>
                <w:bCs/>
                <w:spacing w:val="-10"/>
                <w:szCs w:val="21"/>
              </w:rPr>
              <w:t>1</w:t>
            </w:r>
            <w:r>
              <w:rPr>
                <w:rFonts w:hint="eastAsia" w:ascii="宋体" w:hAnsi="宋体" w:cs="宋体"/>
                <w:b/>
                <w:bCs/>
                <w:spacing w:val="-10"/>
                <w:szCs w:val="21"/>
                <w:lang w:val="en-US" w:eastAsia="zh-CN"/>
              </w:rPr>
              <w:t>1</w:t>
            </w:r>
            <w:r>
              <w:rPr>
                <w:rFonts w:hint="eastAsia" w:ascii="宋体" w:hAnsi="宋体" w:cs="宋体"/>
                <w:b/>
                <w:bCs/>
                <w:spacing w:val="-10"/>
                <w:szCs w:val="21"/>
              </w:rPr>
              <w:t>-</w:t>
            </w:r>
            <w:r>
              <w:rPr>
                <w:rFonts w:hint="eastAsia" w:ascii="宋体" w:hAnsi="宋体" w:cs="宋体"/>
                <w:b/>
                <w:bCs/>
                <w:spacing w:val="-10"/>
                <w:szCs w:val="21"/>
                <w:lang w:val="en-US" w:eastAsia="zh-CN"/>
              </w:rPr>
              <w:t>1</w:t>
            </w:r>
            <w:r>
              <w:rPr>
                <w:rFonts w:hint="eastAsia" w:ascii="宋体" w:hAnsi="宋体" w:cs="宋体"/>
                <w:b/>
                <w:bCs/>
                <w:spacing w:val="-10"/>
                <w:szCs w:val="21"/>
              </w:rPr>
              <w:t>】</w:t>
            </w:r>
          </w:p>
          <w:p w14:paraId="63E24C29">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lang w:val="en-US" w:eastAsia="zh-CN"/>
              </w:rPr>
              <w:t>A</w:t>
            </w:r>
            <w:r>
              <w:rPr>
                <w:rFonts w:hint="eastAsia" w:ascii="楷体" w:hAnsi="楷体" w:eastAsia="楷体" w:cs="楷体"/>
                <w:spacing w:val="-10"/>
                <w:szCs w:val="21"/>
              </w:rPr>
              <w:t>公司2</w:t>
            </w:r>
            <w:r>
              <w:rPr>
                <w:rFonts w:hint="default" w:ascii="Arial" w:hAnsi="Arial" w:eastAsia="楷体" w:cs="Arial"/>
                <w:spacing w:val="-10"/>
                <w:szCs w:val="21"/>
              </w:rPr>
              <w:t>×</w:t>
            </w:r>
            <w:r>
              <w:rPr>
                <w:rFonts w:hint="eastAsia" w:ascii="楷体" w:hAnsi="楷体" w:eastAsia="楷体" w:cs="楷体"/>
                <w:spacing w:val="-10"/>
                <w:szCs w:val="21"/>
              </w:rPr>
              <w:t>24年12月31日</w:t>
            </w:r>
            <w:r>
              <w:rPr>
                <w:rFonts w:hint="eastAsia" w:ascii="楷体" w:hAnsi="楷体" w:eastAsia="楷体" w:cs="楷体"/>
                <w:spacing w:val="-10"/>
                <w:szCs w:val="21"/>
                <w:lang w:val="en-US" w:eastAsia="zh-CN"/>
              </w:rPr>
              <w:t>应收账款</w:t>
            </w:r>
            <w:r>
              <w:rPr>
                <w:rFonts w:hint="eastAsia" w:ascii="楷体" w:hAnsi="楷体" w:eastAsia="楷体" w:cs="楷体"/>
                <w:spacing w:val="-10"/>
                <w:szCs w:val="21"/>
              </w:rPr>
              <w:t>余额为</w:t>
            </w:r>
            <w:r>
              <w:rPr>
                <w:rFonts w:hint="eastAsia" w:ascii="楷体" w:hAnsi="楷体" w:eastAsia="楷体" w:cs="楷体"/>
                <w:spacing w:val="-10"/>
                <w:szCs w:val="21"/>
                <w:lang w:val="en-US" w:eastAsia="zh-CN"/>
              </w:rPr>
              <w:t>5</w:t>
            </w:r>
            <w:r>
              <w:rPr>
                <w:rFonts w:hint="eastAsia" w:ascii="楷体" w:hAnsi="楷体" w:eastAsia="楷体" w:cs="楷体"/>
                <w:spacing w:val="-10"/>
                <w:szCs w:val="21"/>
              </w:rPr>
              <w:t>00万元，该公司期末计提了</w:t>
            </w:r>
            <w:r>
              <w:rPr>
                <w:rFonts w:hint="eastAsia" w:ascii="楷体" w:hAnsi="楷体" w:eastAsia="楷体" w:cs="楷体"/>
                <w:spacing w:val="-10"/>
                <w:szCs w:val="21"/>
                <w:lang w:val="en-US" w:eastAsia="zh-CN"/>
              </w:rPr>
              <w:t>坏账准备25</w:t>
            </w:r>
            <w:r>
              <w:rPr>
                <w:rFonts w:hint="eastAsia" w:ascii="楷体" w:hAnsi="楷体" w:eastAsia="楷体" w:cs="楷体"/>
                <w:spacing w:val="-10"/>
                <w:szCs w:val="21"/>
              </w:rPr>
              <w:t>万元。按照税法规定，</w:t>
            </w:r>
            <w:r>
              <w:rPr>
                <w:rFonts w:hint="eastAsia" w:ascii="楷体" w:hAnsi="楷体" w:eastAsia="楷体" w:cs="楷体"/>
                <w:spacing w:val="-10"/>
                <w:szCs w:val="21"/>
                <w:lang w:val="en-US" w:eastAsia="zh-CN"/>
              </w:rPr>
              <w:t>坏账准备</w:t>
            </w:r>
            <w:r>
              <w:rPr>
                <w:rFonts w:hint="eastAsia" w:ascii="楷体" w:hAnsi="楷体" w:eastAsia="楷体" w:cs="楷体"/>
                <w:spacing w:val="-10"/>
                <w:szCs w:val="21"/>
              </w:rPr>
              <w:t>只有在</w:t>
            </w:r>
            <w:r>
              <w:rPr>
                <w:rFonts w:hint="eastAsia" w:ascii="楷体" w:hAnsi="楷体" w:eastAsia="楷体" w:cs="楷体"/>
                <w:spacing w:val="-10"/>
                <w:szCs w:val="21"/>
                <w:lang w:val="en-US" w:eastAsia="zh-CN"/>
              </w:rPr>
              <w:t>坏账发生</w:t>
            </w:r>
            <w:r>
              <w:rPr>
                <w:rFonts w:hint="eastAsia" w:ascii="楷体" w:hAnsi="楷体" w:eastAsia="楷体" w:cs="楷体"/>
                <w:spacing w:val="-10"/>
                <w:szCs w:val="21"/>
              </w:rPr>
              <w:t>时才能在税前扣除。假定该企业期初</w:t>
            </w:r>
            <w:r>
              <w:rPr>
                <w:rFonts w:hint="eastAsia" w:ascii="楷体" w:hAnsi="楷体" w:eastAsia="楷体" w:cs="楷体"/>
                <w:spacing w:val="-10"/>
                <w:szCs w:val="21"/>
                <w:lang w:val="en-US" w:eastAsia="zh-CN"/>
              </w:rPr>
              <w:t>坏账准备</w:t>
            </w:r>
            <w:r>
              <w:rPr>
                <w:rFonts w:hint="eastAsia" w:ascii="楷体" w:hAnsi="楷体" w:eastAsia="楷体" w:cs="楷体"/>
                <w:spacing w:val="-10"/>
                <w:szCs w:val="21"/>
              </w:rPr>
              <w:t>的余额为零。企业适用的所得税税率为25%</w:t>
            </w:r>
            <w:r>
              <w:rPr>
                <w:rFonts w:hint="eastAsia" w:ascii="楷体" w:hAnsi="楷体" w:eastAsia="楷体" w:cs="楷体"/>
                <w:spacing w:val="-10"/>
                <w:szCs w:val="21"/>
                <w:lang w:eastAsia="zh-CN"/>
              </w:rPr>
              <w:t>，</w:t>
            </w:r>
            <w:r>
              <w:rPr>
                <w:rFonts w:hint="eastAsia" w:ascii="楷体" w:hAnsi="楷体" w:eastAsia="楷体" w:cs="楷体"/>
                <w:spacing w:val="-10"/>
                <w:szCs w:val="21"/>
              </w:rPr>
              <w:t>所得税采用资产负债表债务法进行核算。假定企业未来期间有足够的应纳税所得额用以抵扣可抵扣暂时性差异。</w:t>
            </w:r>
          </w:p>
          <w:p w14:paraId="1CF9E144">
            <w:pPr>
              <w:ind w:firstLine="380" w:firstLineChars="200"/>
              <w:jc w:val="left"/>
              <w:rPr>
                <w:rFonts w:ascii="楷体" w:hAnsi="楷体" w:eastAsia="楷体" w:cs="楷体"/>
                <w:spacing w:val="-10"/>
                <w:szCs w:val="21"/>
              </w:rPr>
            </w:pPr>
            <w:r>
              <w:rPr>
                <w:rFonts w:hint="eastAsia" w:ascii="楷体" w:hAnsi="楷体" w:eastAsia="楷体" w:cs="楷体"/>
                <w:spacing w:val="-10"/>
                <w:szCs w:val="21"/>
              </w:rPr>
              <w:t>要求：编制公司递延所得税会计分类。</w:t>
            </w:r>
          </w:p>
          <w:p w14:paraId="201167B9">
            <w:pPr>
              <w:jc w:val="left"/>
              <w:rPr>
                <w:rFonts w:hint="default" w:ascii="楷体" w:hAnsi="楷体" w:eastAsia="楷体" w:cs="楷体"/>
                <w:spacing w:val="-10"/>
                <w:szCs w:val="21"/>
                <w:lang w:val="en-US" w:eastAsia="zh-CN"/>
              </w:rPr>
            </w:pPr>
          </w:p>
          <w:p w14:paraId="63F7E4C8">
            <w:pPr>
              <w:ind w:firstLine="380" w:firstLineChars="200"/>
              <w:jc w:val="left"/>
              <w:rPr>
                <w:rFonts w:hint="eastAsia" w:ascii="楷体" w:hAnsi="楷体" w:eastAsia="楷体" w:cs="楷体"/>
                <w:spacing w:val="-10"/>
                <w:szCs w:val="21"/>
              </w:rPr>
            </w:pPr>
          </w:p>
          <w:p w14:paraId="7D0B7E39">
            <w:pPr>
              <w:jc w:val="left"/>
              <w:outlineLvl w:val="2"/>
              <w:rPr>
                <w:rFonts w:hint="eastAsia" w:ascii="宋体" w:hAnsi="宋体" w:cs="宋体"/>
                <w:b/>
                <w:bCs/>
                <w:spacing w:val="-10"/>
                <w:szCs w:val="21"/>
              </w:rPr>
            </w:pPr>
            <w:bookmarkStart w:id="12" w:name="_Toc12002"/>
            <w:r>
              <w:rPr>
                <w:rFonts w:hint="eastAsia" w:ascii="宋体" w:hAnsi="宋体" w:cs="宋体"/>
                <w:b/>
                <w:bCs/>
                <w:spacing w:val="-10"/>
                <w:szCs w:val="21"/>
                <w:lang w:val="en-US" w:eastAsia="zh-CN"/>
              </w:rPr>
              <w:t>二、</w:t>
            </w:r>
            <w:r>
              <w:rPr>
                <w:rFonts w:hint="eastAsia" w:ascii="宋体" w:hAnsi="宋体" w:cs="宋体"/>
                <w:b/>
                <w:bCs/>
                <w:spacing w:val="-10"/>
                <w:szCs w:val="21"/>
              </w:rPr>
              <w:t>递延所得税负债的确认和计量</w:t>
            </w:r>
            <w:bookmarkEnd w:id="12"/>
          </w:p>
          <w:p w14:paraId="0A80751D">
            <w:pPr>
              <w:jc w:val="left"/>
              <w:outlineLvl w:val="9"/>
              <w:rPr>
                <w:rFonts w:hint="default" w:ascii="宋体" w:hAnsi="宋体" w:eastAsia="宋体" w:cs="宋体"/>
                <w:b/>
                <w:bCs/>
                <w:spacing w:val="-10"/>
                <w:szCs w:val="21"/>
                <w:lang w:val="en-US" w:eastAsia="zh-CN"/>
              </w:rPr>
            </w:pPr>
            <w:r>
              <w:rPr>
                <w:rFonts w:hint="eastAsia" w:ascii="宋体" w:hAnsi="宋体" w:cs="宋体"/>
                <w:b/>
                <w:bCs/>
                <w:spacing w:val="-10"/>
                <w:szCs w:val="21"/>
                <w:lang w:val="en-US" w:eastAsia="zh-CN"/>
              </w:rPr>
              <w:t>（一）</w:t>
            </w:r>
            <w:r>
              <w:rPr>
                <w:rFonts w:hint="eastAsia" w:ascii="宋体" w:hAnsi="宋体" w:cs="宋体"/>
                <w:b/>
                <w:bCs/>
                <w:spacing w:val="-10"/>
                <w:szCs w:val="21"/>
              </w:rPr>
              <w:t>递延所得税负债的确认</w:t>
            </w:r>
          </w:p>
          <w:p w14:paraId="29218672">
            <w:pPr>
              <w:ind w:firstLine="380" w:firstLineChars="200"/>
              <w:jc w:val="left"/>
              <w:rPr>
                <w:rFonts w:hint="eastAsia" w:ascii="宋体" w:hAnsi="宋体" w:cs="宋体"/>
                <w:spacing w:val="-10"/>
                <w:szCs w:val="21"/>
              </w:rPr>
            </w:pPr>
            <w:r>
              <w:rPr>
                <w:rFonts w:hint="eastAsia" w:ascii="宋体" w:hAnsi="宋体" w:cs="宋体"/>
                <w:spacing w:val="-10"/>
                <w:szCs w:val="21"/>
              </w:rPr>
              <w:t>1.确认递延所得税负债的一般原则</w:t>
            </w:r>
          </w:p>
          <w:p w14:paraId="0BCA43B3">
            <w:pPr>
              <w:ind w:firstLine="380" w:firstLineChars="200"/>
              <w:jc w:val="left"/>
              <w:rPr>
                <w:rFonts w:hint="eastAsia" w:ascii="宋体" w:hAnsi="宋体" w:cs="宋体"/>
                <w:spacing w:val="-10"/>
                <w:szCs w:val="21"/>
              </w:rPr>
            </w:pPr>
            <w:r>
              <w:rPr>
                <w:rFonts w:hint="eastAsia" w:ascii="宋体" w:hAnsi="宋体" w:cs="宋体"/>
                <w:spacing w:val="-10"/>
                <w:szCs w:val="21"/>
              </w:rPr>
              <w:t>除企业会计准则中明确规定可不确认递延所得税负债的情况以外，企业对于所有的应纳税暂时性差异，均应确认相关的递延所得税负债。在确认递延所得税负债的同时，应增加利润表中的所得税费用。</w:t>
            </w:r>
          </w:p>
          <w:p w14:paraId="524AFC03">
            <w:pPr>
              <w:ind w:firstLine="380" w:firstLineChars="200"/>
              <w:jc w:val="left"/>
              <w:rPr>
                <w:rFonts w:hint="eastAsia" w:ascii="宋体" w:hAnsi="宋体" w:cs="宋体"/>
                <w:spacing w:val="-10"/>
                <w:szCs w:val="21"/>
              </w:rPr>
            </w:pPr>
            <w:r>
              <w:rPr>
                <w:rFonts w:hint="eastAsia" w:ascii="宋体" w:hAnsi="宋体" w:cs="宋体"/>
                <w:spacing w:val="-10"/>
                <w:szCs w:val="21"/>
              </w:rPr>
              <w:t>2.“递延所得税负债”账户</w:t>
            </w:r>
          </w:p>
          <w:p w14:paraId="788C07DB">
            <w:pPr>
              <w:ind w:firstLine="380" w:firstLineChars="200"/>
              <w:jc w:val="left"/>
              <w:rPr>
                <w:rFonts w:hint="eastAsia" w:ascii="楷体" w:hAnsi="楷体" w:eastAsia="楷体" w:cs="楷体"/>
                <w:spacing w:val="-10"/>
                <w:szCs w:val="21"/>
              </w:rPr>
            </w:pPr>
            <w:r>
              <w:rPr>
                <w:rFonts w:hint="eastAsia" w:ascii="宋体" w:hAnsi="宋体" w:cs="宋体"/>
                <w:spacing w:val="-10"/>
                <w:szCs w:val="21"/>
              </w:rPr>
              <w:t>“递延所得税负债”账户，用来核算企业确认的应纳税暂时性差异产生的所得税负债。资产负债表日，企业确认的递延所得税负债，借记“所得税费用”账户，贷记本账户。资产负债表日递延所得税负债的应有余额大于其账面余额的，应按其差额确认，借记“所得税费用”账户，贷记本账户。资产负债表日递延所得税负债的应有余额小于其账面余额的差额做相反的会计分录。期末贷方余额反映企业确认的递延所得税负债。</w:t>
            </w:r>
          </w:p>
          <w:p w14:paraId="4D88226A">
            <w:pPr>
              <w:ind w:firstLine="380" w:firstLineChars="200"/>
              <w:jc w:val="left"/>
              <w:rPr>
                <w:rFonts w:hint="eastAsia" w:ascii="楷体" w:hAnsi="楷体" w:eastAsia="楷体" w:cs="楷体"/>
                <w:spacing w:val="-10"/>
                <w:szCs w:val="21"/>
              </w:rPr>
            </w:pPr>
          </w:p>
          <w:p w14:paraId="6C927DF7">
            <w:pPr>
              <w:ind w:firstLine="422" w:firstLineChars="200"/>
              <w:jc w:val="left"/>
              <w:rPr>
                <w:rFonts w:hint="eastAsia" w:ascii="楷体" w:hAnsi="楷体" w:eastAsia="楷体" w:cs="楷体"/>
                <w:spacing w:val="-10"/>
                <w:szCs w:val="21"/>
              </w:rPr>
            </w:pPr>
            <w:r>
              <w:rPr>
                <w:rFonts w:hint="eastAsia" w:ascii="宋体" w:hAnsi="宋体"/>
                <w:b/>
                <w:bCs/>
                <w:szCs w:val="21"/>
              </w:rPr>
              <w:t>【想一想】</w:t>
            </w:r>
            <w:r>
              <w:rPr>
                <w:rFonts w:hint="eastAsia" w:ascii="楷体" w:hAnsi="楷体" w:eastAsia="楷体" w:cs="楷体"/>
                <w:spacing w:val="-10"/>
                <w:szCs w:val="21"/>
              </w:rPr>
              <w:t>“递延所得税负债”账户会出现借方余额吗</w:t>
            </w:r>
            <w:r>
              <w:rPr>
                <w:rFonts w:hint="eastAsia" w:ascii="楷体" w:hAnsi="楷体" w:eastAsia="楷体" w:cs="楷体"/>
                <w:spacing w:val="-10"/>
                <w:szCs w:val="21"/>
                <w:lang w:eastAsia="zh-CN"/>
              </w:rPr>
              <w:t>？</w:t>
            </w:r>
            <w:r>
              <w:rPr>
                <w:rFonts w:hint="eastAsia" w:ascii="楷体" w:hAnsi="楷体" w:eastAsia="楷体" w:cs="楷体"/>
                <w:spacing w:val="-10"/>
                <w:szCs w:val="21"/>
              </w:rPr>
              <w:t>为什么</w:t>
            </w:r>
            <w:r>
              <w:rPr>
                <w:rFonts w:hint="eastAsia" w:ascii="楷体" w:hAnsi="楷体" w:eastAsia="楷体" w:cs="楷体"/>
                <w:spacing w:val="-10"/>
                <w:szCs w:val="21"/>
                <w:lang w:eastAsia="zh-CN"/>
              </w:rPr>
              <w:t>？</w:t>
            </w:r>
          </w:p>
          <w:p w14:paraId="77759B52">
            <w:pPr>
              <w:ind w:firstLine="380" w:firstLineChars="200"/>
              <w:jc w:val="left"/>
              <w:rPr>
                <w:rFonts w:hint="eastAsia" w:ascii="楷体" w:hAnsi="楷体" w:eastAsia="楷体" w:cs="楷体"/>
                <w:spacing w:val="-10"/>
                <w:szCs w:val="21"/>
              </w:rPr>
            </w:pPr>
          </w:p>
          <w:p w14:paraId="578F4367">
            <w:pPr>
              <w:ind w:firstLine="380" w:firstLineChars="200"/>
              <w:jc w:val="left"/>
              <w:rPr>
                <w:rFonts w:hint="eastAsia" w:ascii="宋体" w:hAnsi="宋体" w:cs="宋体"/>
                <w:spacing w:val="-10"/>
                <w:szCs w:val="21"/>
              </w:rPr>
            </w:pPr>
            <w:r>
              <w:rPr>
                <w:rFonts w:hint="eastAsia" w:ascii="宋体" w:hAnsi="宋体" w:cs="宋体"/>
                <w:spacing w:val="-10"/>
                <w:szCs w:val="21"/>
              </w:rPr>
              <w:t>3.递延所得税负债的计量</w:t>
            </w:r>
          </w:p>
          <w:p w14:paraId="678A6EB5">
            <w:pPr>
              <w:ind w:firstLine="380" w:firstLineChars="200"/>
              <w:jc w:val="left"/>
              <w:rPr>
                <w:rFonts w:hint="eastAsia" w:ascii="宋体" w:hAnsi="宋体" w:cs="宋体"/>
                <w:spacing w:val="-10"/>
                <w:szCs w:val="21"/>
              </w:rPr>
            </w:pPr>
            <w:r>
              <w:rPr>
                <w:rFonts w:hint="eastAsia" w:ascii="宋体" w:hAnsi="宋体" w:cs="宋体"/>
                <w:spacing w:val="-10"/>
                <w:szCs w:val="21"/>
              </w:rPr>
              <w:t>递延所得税负债应以相关应纳税暂时性差异转回期间适用的所得税税率计量。在我国除享受优惠政策的情况以外，企业适用的所得税税率在不同年度之间一般不会发生变化。企业在确认递延所得税负债时，可以以现行适用税率为基础计算确定递延所得税负债的确认，不要求折现。</w:t>
            </w:r>
          </w:p>
          <w:p w14:paraId="690BFD0F">
            <w:pPr>
              <w:jc w:val="left"/>
              <w:rPr>
                <w:rFonts w:hint="eastAsia" w:ascii="宋体" w:hAnsi="宋体" w:cs="宋体"/>
                <w:b/>
                <w:bCs/>
                <w:spacing w:val="-10"/>
                <w:szCs w:val="21"/>
              </w:rPr>
            </w:pPr>
            <w:r>
              <w:rPr>
                <w:rFonts w:hint="eastAsia" w:ascii="宋体" w:hAnsi="宋体" w:cs="宋体"/>
                <w:b/>
                <w:bCs/>
                <w:spacing w:val="-10"/>
                <w:szCs w:val="21"/>
              </w:rPr>
              <w:t>【典型案例10-</w:t>
            </w:r>
            <w:r>
              <w:rPr>
                <w:rFonts w:hint="eastAsia" w:ascii="宋体" w:hAnsi="宋体" w:cs="宋体"/>
                <w:b/>
                <w:bCs/>
                <w:spacing w:val="-10"/>
                <w:szCs w:val="21"/>
                <w:lang w:val="en-US" w:eastAsia="zh-CN"/>
              </w:rPr>
              <w:t>8</w:t>
            </w:r>
            <w:r>
              <w:rPr>
                <w:rFonts w:hint="eastAsia" w:ascii="宋体" w:hAnsi="宋体" w:cs="宋体"/>
                <w:b/>
                <w:bCs/>
                <w:spacing w:val="-10"/>
                <w:szCs w:val="21"/>
              </w:rPr>
              <w:t>】</w:t>
            </w:r>
          </w:p>
          <w:p w14:paraId="04C49271">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M公司2</w:t>
            </w:r>
            <w:r>
              <w:rPr>
                <w:rFonts w:hint="default" w:ascii="Arial" w:hAnsi="Arial" w:eastAsia="楷体" w:cs="Arial"/>
                <w:spacing w:val="-10"/>
                <w:szCs w:val="21"/>
              </w:rPr>
              <w:t>×</w:t>
            </w:r>
            <w:r>
              <w:rPr>
                <w:rFonts w:hint="eastAsia" w:ascii="楷体" w:hAnsi="楷体" w:eastAsia="楷体" w:cs="楷体"/>
                <w:spacing w:val="-10"/>
                <w:szCs w:val="21"/>
              </w:rPr>
              <w:t>24年6月18日从公开市场上取得一项权益性投资，支付价款</w:t>
            </w:r>
            <w:r>
              <w:rPr>
                <w:rFonts w:hint="eastAsia" w:ascii="楷体" w:hAnsi="楷体" w:eastAsia="楷体" w:cs="楷体"/>
                <w:spacing w:val="-10"/>
                <w:szCs w:val="21"/>
                <w:lang w:val="en-US" w:eastAsia="zh-CN"/>
              </w:rPr>
              <w:t>4</w:t>
            </w:r>
            <w:r>
              <w:rPr>
                <w:rFonts w:hint="eastAsia" w:ascii="楷体" w:hAnsi="楷体" w:eastAsia="楷体" w:cs="楷体"/>
                <w:spacing w:val="-10"/>
                <w:szCs w:val="21"/>
              </w:rPr>
              <w:t>00万元，作为交易性金融资产核算。2</w:t>
            </w:r>
            <w:r>
              <w:rPr>
                <w:rFonts w:hint="default" w:ascii="Arial" w:hAnsi="Arial" w:eastAsia="楷体" w:cs="Arial"/>
                <w:spacing w:val="-10"/>
                <w:szCs w:val="21"/>
              </w:rPr>
              <w:t>×</w:t>
            </w:r>
            <w:r>
              <w:rPr>
                <w:rFonts w:hint="eastAsia" w:ascii="楷体" w:hAnsi="楷体" w:eastAsia="楷体" w:cs="楷体"/>
                <w:spacing w:val="-10"/>
                <w:szCs w:val="21"/>
              </w:rPr>
              <w:t>24年12月31日，该项交易性金融资产的市价为</w:t>
            </w:r>
            <w:r>
              <w:rPr>
                <w:rFonts w:hint="eastAsia" w:ascii="楷体" w:hAnsi="楷体" w:eastAsia="楷体" w:cs="楷体"/>
                <w:spacing w:val="-10"/>
                <w:szCs w:val="21"/>
                <w:lang w:val="en-US" w:eastAsia="zh-CN"/>
              </w:rPr>
              <w:t>44</w:t>
            </w:r>
            <w:r>
              <w:rPr>
                <w:rFonts w:hint="eastAsia" w:ascii="楷体" w:hAnsi="楷体" w:eastAsia="楷体" w:cs="楷体"/>
                <w:spacing w:val="-10"/>
                <w:szCs w:val="21"/>
              </w:rPr>
              <w:t>0万元。企业适用的所得税税率为25%</w:t>
            </w:r>
            <w:r>
              <w:rPr>
                <w:rFonts w:hint="eastAsia" w:ascii="楷体" w:hAnsi="楷体" w:eastAsia="楷体" w:cs="楷体"/>
                <w:spacing w:val="-10"/>
                <w:szCs w:val="21"/>
                <w:lang w:eastAsia="zh-CN"/>
              </w:rPr>
              <w:t>，</w:t>
            </w:r>
            <w:r>
              <w:rPr>
                <w:rFonts w:hint="eastAsia" w:ascii="楷体" w:hAnsi="楷体" w:eastAsia="楷体" w:cs="楷体"/>
                <w:spacing w:val="-10"/>
                <w:szCs w:val="21"/>
              </w:rPr>
              <w:t>所得税采用资产负债表债务法进行核算。</w:t>
            </w:r>
          </w:p>
          <w:p w14:paraId="3DB7D11B">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要求：编制M公司递延所得税会计分类。</w:t>
            </w:r>
          </w:p>
          <w:p w14:paraId="56F901FC">
            <w:pPr>
              <w:jc w:val="left"/>
              <w:rPr>
                <w:rFonts w:hint="eastAsia" w:ascii="宋体" w:hAnsi="宋体" w:cs="宋体"/>
                <w:b/>
                <w:bCs/>
                <w:spacing w:val="-10"/>
                <w:szCs w:val="21"/>
              </w:rPr>
            </w:pPr>
            <w:r>
              <w:rPr>
                <w:rFonts w:hint="eastAsia" w:ascii="宋体" w:hAnsi="宋体" w:cs="宋体"/>
                <w:b/>
                <w:bCs/>
                <w:spacing w:val="-10"/>
                <w:szCs w:val="21"/>
              </w:rPr>
              <w:t>【典型案例10-</w:t>
            </w:r>
            <w:r>
              <w:rPr>
                <w:rFonts w:hint="eastAsia" w:ascii="宋体" w:hAnsi="宋体" w:cs="宋体"/>
                <w:b/>
                <w:bCs/>
                <w:spacing w:val="-10"/>
                <w:szCs w:val="21"/>
                <w:lang w:val="en-US" w:eastAsia="zh-CN"/>
              </w:rPr>
              <w:t>8</w:t>
            </w:r>
            <w:r>
              <w:rPr>
                <w:rFonts w:hint="eastAsia" w:ascii="宋体" w:hAnsi="宋体" w:cs="宋体"/>
                <w:b/>
                <w:bCs/>
                <w:spacing w:val="-10"/>
                <w:szCs w:val="21"/>
              </w:rPr>
              <w:t>解析】</w:t>
            </w:r>
          </w:p>
          <w:p w14:paraId="4D3246B2">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按照企业会计准则规定，企业应确认公允价值变动损益</w:t>
            </w:r>
            <w:r>
              <w:rPr>
                <w:rFonts w:hint="eastAsia" w:ascii="楷体" w:hAnsi="楷体" w:eastAsia="楷体" w:cs="楷体"/>
                <w:spacing w:val="-10"/>
                <w:szCs w:val="21"/>
                <w:lang w:val="en-US" w:eastAsia="zh-CN"/>
              </w:rPr>
              <w:t>4</w:t>
            </w:r>
            <w:r>
              <w:rPr>
                <w:rFonts w:hint="eastAsia" w:ascii="楷体" w:hAnsi="楷体" w:eastAsia="楷体" w:cs="楷体"/>
                <w:spacing w:val="-10"/>
                <w:szCs w:val="21"/>
              </w:rPr>
              <w:t>0万元，资产在12月31日的账面价值为</w:t>
            </w:r>
            <w:r>
              <w:rPr>
                <w:rFonts w:hint="eastAsia" w:ascii="楷体" w:hAnsi="楷体" w:eastAsia="楷体" w:cs="楷体"/>
                <w:spacing w:val="-10"/>
                <w:szCs w:val="21"/>
                <w:lang w:val="en-US" w:eastAsia="zh-CN"/>
              </w:rPr>
              <w:t>44</w:t>
            </w:r>
            <w:r>
              <w:rPr>
                <w:rFonts w:hint="eastAsia" w:ascii="楷体" w:hAnsi="楷体" w:eastAsia="楷体" w:cs="楷体"/>
                <w:spacing w:val="-10"/>
                <w:szCs w:val="21"/>
              </w:rPr>
              <w:t>0万元。税法规定，交易性金融资产在持有期间的公允价值变动不计入应纳税所得额，其计税基础在12月31日应维持原取得成本不变，即其计税基础为</w:t>
            </w:r>
            <w:r>
              <w:rPr>
                <w:rFonts w:hint="eastAsia" w:ascii="楷体" w:hAnsi="楷体" w:eastAsia="楷体" w:cs="楷体"/>
                <w:spacing w:val="-10"/>
                <w:szCs w:val="21"/>
                <w:lang w:val="en-US" w:eastAsia="zh-CN"/>
              </w:rPr>
              <w:t>4</w:t>
            </w:r>
            <w:r>
              <w:rPr>
                <w:rFonts w:hint="eastAsia" w:ascii="楷体" w:hAnsi="楷体" w:eastAsia="楷体" w:cs="楷体"/>
                <w:spacing w:val="-10"/>
                <w:szCs w:val="21"/>
              </w:rPr>
              <w:t>00万元。两者之间产生的</w:t>
            </w:r>
            <w:r>
              <w:rPr>
                <w:rFonts w:hint="eastAsia" w:ascii="楷体" w:hAnsi="楷体" w:eastAsia="楷体" w:cs="楷体"/>
                <w:spacing w:val="-10"/>
                <w:szCs w:val="21"/>
                <w:lang w:val="en-US" w:eastAsia="zh-CN"/>
              </w:rPr>
              <w:t>4</w:t>
            </w:r>
            <w:r>
              <w:rPr>
                <w:rFonts w:hint="eastAsia" w:ascii="楷体" w:hAnsi="楷体" w:eastAsia="楷体" w:cs="楷体"/>
                <w:spacing w:val="-10"/>
                <w:szCs w:val="21"/>
              </w:rPr>
              <w:t>0万元差异属于应纳税暂时性差异，应确认相关的递延所得税负债</w:t>
            </w:r>
            <w:r>
              <w:rPr>
                <w:rFonts w:hint="eastAsia" w:ascii="楷体" w:hAnsi="楷体" w:eastAsia="楷体" w:cs="楷体"/>
                <w:spacing w:val="-10"/>
                <w:szCs w:val="21"/>
                <w:lang w:val="en-US" w:eastAsia="zh-CN"/>
              </w:rPr>
              <w:t>10</w:t>
            </w:r>
            <w:r>
              <w:rPr>
                <w:rFonts w:hint="eastAsia" w:ascii="楷体" w:hAnsi="楷体" w:eastAsia="楷体" w:cs="楷体"/>
                <w:spacing w:val="-10"/>
                <w:szCs w:val="21"/>
              </w:rPr>
              <w:t>万元。</w:t>
            </w:r>
          </w:p>
          <w:p w14:paraId="1EE76B94">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编制的会计分录为：</w:t>
            </w:r>
          </w:p>
          <w:p w14:paraId="7AFE05E1">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借：所得税费用</w:t>
            </w:r>
            <w:r>
              <w:rPr>
                <w:rFonts w:hint="eastAsia" w:ascii="楷体" w:hAnsi="楷体" w:eastAsia="楷体" w:cs="楷体"/>
                <w:spacing w:val="-10"/>
                <w:szCs w:val="21"/>
                <w:lang w:val="en-US" w:eastAsia="zh-CN"/>
              </w:rPr>
              <w:t xml:space="preserve">       10</w:t>
            </w:r>
            <w:r>
              <w:rPr>
                <w:rFonts w:hint="eastAsia" w:ascii="楷体" w:hAnsi="楷体" w:eastAsia="楷体" w:cs="楷体"/>
                <w:spacing w:val="-10"/>
                <w:szCs w:val="21"/>
              </w:rPr>
              <w:t>0</w:t>
            </w:r>
            <w:r>
              <w:rPr>
                <w:rFonts w:hint="eastAsia" w:ascii="楷体" w:hAnsi="楷体" w:eastAsia="楷体" w:cs="楷体"/>
                <w:spacing w:val="-10"/>
                <w:szCs w:val="21"/>
                <w:lang w:val="en-US" w:eastAsia="zh-CN"/>
              </w:rPr>
              <w:t xml:space="preserve"> </w:t>
            </w:r>
            <w:r>
              <w:rPr>
                <w:rFonts w:hint="eastAsia" w:ascii="楷体" w:hAnsi="楷体" w:eastAsia="楷体" w:cs="楷体"/>
                <w:spacing w:val="-10"/>
                <w:szCs w:val="21"/>
              </w:rPr>
              <w:t>000</w:t>
            </w:r>
          </w:p>
          <w:p w14:paraId="3F7960A5">
            <w:pPr>
              <w:ind w:firstLine="570" w:firstLineChars="300"/>
              <w:jc w:val="left"/>
              <w:rPr>
                <w:rFonts w:hint="eastAsia" w:ascii="楷体" w:hAnsi="楷体" w:eastAsia="楷体" w:cs="楷体"/>
                <w:spacing w:val="-10"/>
                <w:szCs w:val="21"/>
              </w:rPr>
            </w:pPr>
            <w:r>
              <w:rPr>
                <w:rFonts w:hint="eastAsia" w:ascii="楷体" w:hAnsi="楷体" w:eastAsia="楷体" w:cs="楷体"/>
                <w:spacing w:val="-10"/>
                <w:szCs w:val="21"/>
              </w:rPr>
              <w:t>贷：递延所得税负债</w:t>
            </w:r>
            <w:r>
              <w:rPr>
                <w:rFonts w:hint="eastAsia" w:ascii="楷体" w:hAnsi="楷体" w:eastAsia="楷体" w:cs="楷体"/>
                <w:spacing w:val="-10"/>
                <w:szCs w:val="21"/>
                <w:lang w:val="en-US" w:eastAsia="zh-CN"/>
              </w:rPr>
              <w:t xml:space="preserve">   10</w:t>
            </w:r>
            <w:r>
              <w:rPr>
                <w:rFonts w:hint="eastAsia" w:ascii="楷体" w:hAnsi="楷体" w:eastAsia="楷体" w:cs="楷体"/>
                <w:spacing w:val="-10"/>
                <w:szCs w:val="21"/>
              </w:rPr>
              <w:t>0</w:t>
            </w:r>
            <w:r>
              <w:rPr>
                <w:rFonts w:hint="eastAsia" w:ascii="楷体" w:hAnsi="楷体" w:eastAsia="楷体" w:cs="楷体"/>
                <w:spacing w:val="-10"/>
                <w:szCs w:val="21"/>
                <w:lang w:val="en-US" w:eastAsia="zh-CN"/>
              </w:rPr>
              <w:t xml:space="preserve"> </w:t>
            </w:r>
            <w:r>
              <w:rPr>
                <w:rFonts w:hint="eastAsia" w:ascii="楷体" w:hAnsi="楷体" w:eastAsia="楷体" w:cs="楷体"/>
                <w:spacing w:val="-10"/>
                <w:szCs w:val="21"/>
              </w:rPr>
              <w:t>000</w:t>
            </w:r>
          </w:p>
          <w:p w14:paraId="38114CAD">
            <w:pPr>
              <w:jc w:val="left"/>
              <w:rPr>
                <w:rFonts w:hint="eastAsia" w:ascii="宋体" w:hAnsi="宋体" w:cs="宋体"/>
                <w:b/>
                <w:bCs/>
                <w:spacing w:val="-10"/>
                <w:szCs w:val="21"/>
              </w:rPr>
            </w:pPr>
            <w:r>
              <w:rPr>
                <w:rFonts w:hint="eastAsia" w:ascii="宋体" w:hAnsi="宋体" w:cs="宋体"/>
                <w:b/>
                <w:bCs/>
                <w:spacing w:val="-10"/>
                <w:szCs w:val="21"/>
              </w:rPr>
              <w:t>【</w:t>
            </w:r>
            <w:r>
              <w:rPr>
                <w:rFonts w:hint="eastAsia" w:ascii="宋体" w:hAnsi="宋体" w:cs="宋体"/>
                <w:b/>
                <w:bCs/>
                <w:spacing w:val="-10"/>
                <w:szCs w:val="21"/>
                <w:lang w:val="en-US" w:eastAsia="zh-CN"/>
              </w:rPr>
              <w:t>学中做</w:t>
            </w:r>
            <w:r>
              <w:rPr>
                <w:rFonts w:hint="eastAsia" w:ascii="宋体" w:hAnsi="宋体" w:cs="宋体"/>
                <w:b/>
                <w:bCs/>
                <w:spacing w:val="-10"/>
                <w:szCs w:val="21"/>
              </w:rPr>
              <w:t>1</w:t>
            </w:r>
            <w:r>
              <w:rPr>
                <w:rFonts w:hint="eastAsia" w:ascii="宋体" w:hAnsi="宋体" w:cs="宋体"/>
                <w:b/>
                <w:bCs/>
                <w:spacing w:val="-10"/>
                <w:szCs w:val="21"/>
                <w:lang w:val="en-US" w:eastAsia="zh-CN"/>
              </w:rPr>
              <w:t>1</w:t>
            </w:r>
            <w:r>
              <w:rPr>
                <w:rFonts w:hint="eastAsia" w:ascii="宋体" w:hAnsi="宋体" w:cs="宋体"/>
                <w:b/>
                <w:bCs/>
                <w:spacing w:val="-10"/>
                <w:szCs w:val="21"/>
              </w:rPr>
              <w:t>-</w:t>
            </w:r>
            <w:r>
              <w:rPr>
                <w:rFonts w:hint="eastAsia" w:ascii="宋体" w:hAnsi="宋体" w:cs="宋体"/>
                <w:b/>
                <w:bCs/>
                <w:spacing w:val="-10"/>
                <w:szCs w:val="21"/>
                <w:lang w:val="en-US" w:eastAsia="zh-CN"/>
              </w:rPr>
              <w:t>2</w:t>
            </w:r>
            <w:r>
              <w:rPr>
                <w:rFonts w:hint="eastAsia" w:ascii="宋体" w:hAnsi="宋体" w:cs="宋体"/>
                <w:b/>
                <w:bCs/>
                <w:spacing w:val="-10"/>
                <w:szCs w:val="21"/>
              </w:rPr>
              <w:t>】</w:t>
            </w:r>
          </w:p>
          <w:p w14:paraId="6381D416">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lang w:val="en-US" w:eastAsia="zh-CN"/>
              </w:rPr>
              <w:t>A</w:t>
            </w:r>
            <w:r>
              <w:rPr>
                <w:rFonts w:hint="eastAsia" w:ascii="楷体" w:hAnsi="楷体" w:eastAsia="楷体" w:cs="楷体"/>
                <w:spacing w:val="-10"/>
                <w:szCs w:val="21"/>
              </w:rPr>
              <w:t>公司2</w:t>
            </w:r>
            <w:r>
              <w:rPr>
                <w:rFonts w:hint="default" w:ascii="Arial" w:hAnsi="Arial" w:eastAsia="楷体" w:cs="Arial"/>
                <w:spacing w:val="-10"/>
                <w:szCs w:val="21"/>
              </w:rPr>
              <w:t>×</w:t>
            </w:r>
            <w:r>
              <w:rPr>
                <w:rFonts w:hint="eastAsia" w:ascii="楷体" w:hAnsi="楷体" w:eastAsia="楷体" w:cs="楷体"/>
                <w:spacing w:val="-10"/>
                <w:szCs w:val="21"/>
              </w:rPr>
              <w:t>24年6月18日从公开市场上取得一项权益性投资，支付价款</w:t>
            </w:r>
            <w:r>
              <w:rPr>
                <w:rFonts w:hint="eastAsia" w:ascii="楷体" w:hAnsi="楷体" w:eastAsia="楷体" w:cs="楷体"/>
                <w:spacing w:val="-10"/>
                <w:szCs w:val="21"/>
                <w:lang w:val="en-US" w:eastAsia="zh-CN"/>
              </w:rPr>
              <w:t>2</w:t>
            </w:r>
            <w:r>
              <w:rPr>
                <w:rFonts w:hint="eastAsia" w:ascii="楷体" w:hAnsi="楷体" w:eastAsia="楷体" w:cs="楷体"/>
                <w:spacing w:val="-10"/>
                <w:szCs w:val="21"/>
              </w:rPr>
              <w:t>00万元，作为</w:t>
            </w:r>
            <w:r>
              <w:rPr>
                <w:rFonts w:hint="eastAsia" w:ascii="楷体" w:hAnsi="楷体" w:eastAsia="楷体" w:cs="楷体"/>
                <w:spacing w:val="-10"/>
                <w:szCs w:val="21"/>
                <w:lang w:val="en-US" w:eastAsia="zh-CN"/>
              </w:rPr>
              <w:t>其他权益工具投资</w:t>
            </w:r>
            <w:r>
              <w:rPr>
                <w:rFonts w:hint="eastAsia" w:ascii="楷体" w:hAnsi="楷体" w:eastAsia="楷体" w:cs="楷体"/>
                <w:spacing w:val="-10"/>
                <w:szCs w:val="21"/>
              </w:rPr>
              <w:t>核算。2</w:t>
            </w:r>
            <w:r>
              <w:rPr>
                <w:rFonts w:hint="default" w:ascii="Arial" w:hAnsi="Arial" w:eastAsia="楷体" w:cs="Arial"/>
                <w:spacing w:val="-10"/>
                <w:szCs w:val="21"/>
              </w:rPr>
              <w:t>×</w:t>
            </w:r>
            <w:r>
              <w:rPr>
                <w:rFonts w:hint="eastAsia" w:ascii="楷体" w:hAnsi="楷体" w:eastAsia="楷体" w:cs="楷体"/>
                <w:spacing w:val="-10"/>
                <w:szCs w:val="21"/>
              </w:rPr>
              <w:t>24年12月31日，该项</w:t>
            </w:r>
            <w:r>
              <w:rPr>
                <w:rFonts w:hint="eastAsia" w:ascii="楷体" w:hAnsi="楷体" w:eastAsia="楷体" w:cs="楷体"/>
                <w:spacing w:val="-10"/>
                <w:szCs w:val="21"/>
                <w:lang w:val="en-US" w:eastAsia="zh-CN"/>
              </w:rPr>
              <w:t>其他权益工具投资</w:t>
            </w:r>
            <w:r>
              <w:rPr>
                <w:rFonts w:hint="eastAsia" w:ascii="楷体" w:hAnsi="楷体" w:eastAsia="楷体" w:cs="楷体"/>
                <w:spacing w:val="-10"/>
                <w:szCs w:val="21"/>
              </w:rPr>
              <w:t>的市价为</w:t>
            </w:r>
            <w:r>
              <w:rPr>
                <w:rFonts w:hint="eastAsia" w:ascii="楷体" w:hAnsi="楷体" w:eastAsia="楷体" w:cs="楷体"/>
                <w:spacing w:val="-10"/>
                <w:szCs w:val="21"/>
                <w:lang w:val="en-US" w:eastAsia="zh-CN"/>
              </w:rPr>
              <w:t>22</w:t>
            </w:r>
            <w:r>
              <w:rPr>
                <w:rFonts w:hint="eastAsia" w:ascii="楷体" w:hAnsi="楷体" w:eastAsia="楷体" w:cs="楷体"/>
                <w:spacing w:val="-10"/>
                <w:szCs w:val="21"/>
              </w:rPr>
              <w:t>0万元。企业适用的所得税税率为25%</w:t>
            </w:r>
            <w:r>
              <w:rPr>
                <w:rFonts w:hint="eastAsia" w:ascii="楷体" w:hAnsi="楷体" w:eastAsia="楷体" w:cs="楷体"/>
                <w:spacing w:val="-10"/>
                <w:szCs w:val="21"/>
                <w:lang w:eastAsia="zh-CN"/>
              </w:rPr>
              <w:t>，</w:t>
            </w:r>
            <w:r>
              <w:rPr>
                <w:rFonts w:hint="eastAsia" w:ascii="楷体" w:hAnsi="楷体" w:eastAsia="楷体" w:cs="楷体"/>
                <w:spacing w:val="-10"/>
                <w:szCs w:val="21"/>
              </w:rPr>
              <w:t>所得税采用资产负债表债务法进行核算。</w:t>
            </w:r>
          </w:p>
          <w:p w14:paraId="247AD45E">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要求：编制</w:t>
            </w:r>
            <w:r>
              <w:rPr>
                <w:rFonts w:hint="eastAsia" w:ascii="楷体" w:hAnsi="楷体" w:eastAsia="楷体" w:cs="楷体"/>
                <w:spacing w:val="-10"/>
                <w:szCs w:val="21"/>
                <w:lang w:val="en-US" w:eastAsia="zh-CN"/>
              </w:rPr>
              <w:t>A</w:t>
            </w:r>
            <w:r>
              <w:rPr>
                <w:rFonts w:hint="eastAsia" w:ascii="楷体" w:hAnsi="楷体" w:eastAsia="楷体" w:cs="楷体"/>
                <w:spacing w:val="-10"/>
                <w:szCs w:val="21"/>
              </w:rPr>
              <w:t>公司递延所得税会计分类。</w:t>
            </w:r>
          </w:p>
          <w:p w14:paraId="5EDC9652">
            <w:pPr>
              <w:ind w:firstLine="570" w:firstLineChars="300"/>
              <w:jc w:val="left"/>
              <w:rPr>
                <w:rFonts w:hint="eastAsia" w:ascii="楷体" w:hAnsi="楷体" w:eastAsia="楷体" w:cs="楷体"/>
                <w:spacing w:val="-10"/>
                <w:szCs w:val="21"/>
              </w:rPr>
            </w:pPr>
          </w:p>
          <w:p w14:paraId="0FF10625">
            <w:pPr>
              <w:jc w:val="left"/>
              <w:outlineLvl w:val="2"/>
              <w:rPr>
                <w:rFonts w:hint="eastAsia" w:ascii="宋体" w:hAnsi="宋体" w:cs="宋体"/>
                <w:b/>
                <w:bCs/>
                <w:spacing w:val="-10"/>
                <w:szCs w:val="21"/>
              </w:rPr>
            </w:pPr>
            <w:bookmarkStart w:id="13" w:name="_Toc606"/>
            <w:r>
              <w:rPr>
                <w:rFonts w:hint="eastAsia" w:ascii="宋体" w:hAnsi="宋体" w:cs="宋体"/>
                <w:b/>
                <w:bCs/>
                <w:spacing w:val="-10"/>
                <w:szCs w:val="21"/>
                <w:lang w:val="en-US" w:eastAsia="zh-CN"/>
              </w:rPr>
              <w:t>三、</w:t>
            </w:r>
            <w:r>
              <w:rPr>
                <w:rFonts w:hint="eastAsia" w:ascii="宋体" w:hAnsi="宋体" w:cs="宋体"/>
                <w:b/>
                <w:bCs/>
                <w:spacing w:val="-10"/>
                <w:szCs w:val="21"/>
              </w:rPr>
              <w:t>适用所得税税率变动对已确认递延项目的影响</w:t>
            </w:r>
            <w:bookmarkEnd w:id="13"/>
          </w:p>
          <w:p w14:paraId="09BB1B01">
            <w:pPr>
              <w:ind w:firstLine="380" w:firstLineChars="200"/>
              <w:jc w:val="left"/>
              <w:rPr>
                <w:rFonts w:hint="eastAsia" w:ascii="宋体" w:hAnsi="宋体" w:cs="宋体"/>
                <w:spacing w:val="-10"/>
                <w:szCs w:val="21"/>
              </w:rPr>
            </w:pPr>
            <w:r>
              <w:rPr>
                <w:rFonts w:hint="eastAsia" w:ascii="宋体" w:hAnsi="宋体" w:cs="宋体"/>
                <w:spacing w:val="-10"/>
                <w:szCs w:val="21"/>
              </w:rPr>
              <w:t>因适用税收法规的变化，导致企业在某一会计期间适用的所得税税率发生变化的，企业应对已确认的递延所得税资产和递延所得税负债重新计量。除直接计入所有者权益的交易或事项产生的递延所得税资产和递延所得税负债，相关的调整金额应计入所有者权益以外，</w:t>
            </w:r>
          </w:p>
          <w:p w14:paraId="38D466ED">
            <w:pPr>
              <w:ind w:firstLine="380" w:firstLineChars="200"/>
              <w:jc w:val="left"/>
              <w:rPr>
                <w:rFonts w:hint="eastAsia" w:ascii="宋体" w:hAnsi="宋体" w:cs="宋体"/>
                <w:spacing w:val="-10"/>
                <w:szCs w:val="21"/>
              </w:rPr>
            </w:pPr>
            <w:r>
              <w:rPr>
                <w:rFonts w:hint="eastAsia" w:ascii="宋体" w:hAnsi="宋体" w:cs="宋体"/>
                <w:spacing w:val="-10"/>
                <w:szCs w:val="21"/>
              </w:rPr>
              <w:t>其他情况下产生的调整金额应确认为当期所得税费用(或收益)。</w:t>
            </w:r>
          </w:p>
          <w:p w14:paraId="6CE2D647">
            <w:pPr>
              <w:jc w:val="left"/>
              <w:outlineLvl w:val="2"/>
              <w:rPr>
                <w:rFonts w:hint="eastAsia" w:ascii="宋体" w:hAnsi="宋体" w:cs="宋体"/>
                <w:b/>
                <w:bCs/>
                <w:spacing w:val="-10"/>
                <w:szCs w:val="21"/>
              </w:rPr>
            </w:pPr>
            <w:bookmarkStart w:id="14" w:name="_Toc18643"/>
            <w:r>
              <w:rPr>
                <w:rFonts w:hint="eastAsia" w:ascii="宋体" w:hAnsi="宋体" w:cs="宋体"/>
                <w:b/>
                <w:bCs/>
                <w:spacing w:val="-10"/>
                <w:szCs w:val="21"/>
                <w:lang w:val="en-US" w:eastAsia="zh-CN"/>
              </w:rPr>
              <w:t>四、</w:t>
            </w:r>
            <w:r>
              <w:rPr>
                <w:rFonts w:hint="eastAsia" w:ascii="宋体" w:hAnsi="宋体" w:cs="宋体"/>
                <w:b/>
                <w:bCs/>
                <w:spacing w:val="-10"/>
                <w:szCs w:val="21"/>
              </w:rPr>
              <w:t>所得税费用的确认和计量</w:t>
            </w:r>
            <w:bookmarkEnd w:id="14"/>
          </w:p>
          <w:p w14:paraId="6C7BC34C">
            <w:pPr>
              <w:ind w:firstLine="382" w:firstLineChars="200"/>
              <w:jc w:val="left"/>
              <w:rPr>
                <w:rFonts w:hint="eastAsia" w:ascii="宋体" w:hAnsi="宋体" w:cs="宋体"/>
                <w:b/>
                <w:bCs/>
                <w:spacing w:val="-10"/>
                <w:szCs w:val="21"/>
              </w:rPr>
            </w:pPr>
            <w:r>
              <w:rPr>
                <w:rFonts w:hint="eastAsia" w:ascii="宋体" w:hAnsi="宋体" w:cs="宋体"/>
                <w:b/>
                <w:bCs/>
                <w:spacing w:val="-10"/>
                <w:szCs w:val="21"/>
                <w:lang w:eastAsia="zh-CN"/>
              </w:rPr>
              <w:t>（</w:t>
            </w:r>
            <w:r>
              <w:rPr>
                <w:rFonts w:hint="eastAsia" w:ascii="宋体" w:hAnsi="宋体" w:cs="宋体"/>
                <w:b/>
                <w:bCs/>
                <w:spacing w:val="-10"/>
                <w:szCs w:val="21"/>
                <w:lang w:val="en-US" w:eastAsia="zh-CN"/>
              </w:rPr>
              <w:t>一</w:t>
            </w:r>
            <w:r>
              <w:rPr>
                <w:rFonts w:hint="eastAsia" w:ascii="宋体" w:hAnsi="宋体" w:cs="宋体"/>
                <w:b/>
                <w:bCs/>
                <w:spacing w:val="-10"/>
                <w:szCs w:val="21"/>
                <w:lang w:eastAsia="zh-CN"/>
              </w:rPr>
              <w:t>）</w:t>
            </w:r>
            <w:r>
              <w:rPr>
                <w:rFonts w:hint="eastAsia" w:ascii="宋体" w:hAnsi="宋体" w:cs="宋体"/>
                <w:b/>
                <w:bCs/>
                <w:spacing w:val="-10"/>
                <w:szCs w:val="21"/>
              </w:rPr>
              <w:t>当期所得税</w:t>
            </w:r>
          </w:p>
          <w:p w14:paraId="75AC23C7">
            <w:pPr>
              <w:ind w:firstLine="380" w:firstLineChars="200"/>
              <w:jc w:val="left"/>
              <w:rPr>
                <w:rFonts w:hint="eastAsia" w:ascii="宋体" w:hAnsi="宋体" w:cs="宋体"/>
                <w:spacing w:val="-10"/>
                <w:szCs w:val="21"/>
              </w:rPr>
            </w:pPr>
            <w:r>
              <w:rPr>
                <w:rFonts w:hint="eastAsia" w:ascii="宋体" w:hAnsi="宋体" w:cs="宋体"/>
                <w:spacing w:val="-10"/>
                <w:szCs w:val="21"/>
              </w:rPr>
              <w:t>当期所得税是指企业按照税法规定计算确定的、针对当期发生的交易和事项，应交纳给税务部门的所得税金额，即应交所得税，应以适用的税收法规为基础计算确定。</w:t>
            </w:r>
          </w:p>
          <w:p w14:paraId="6C16B10C">
            <w:pPr>
              <w:jc w:val="center"/>
              <w:rPr>
                <w:rFonts w:hint="eastAsia" w:ascii="楷体" w:hAnsi="楷体" w:eastAsia="楷体" w:cs="楷体"/>
                <w:spacing w:val="-10"/>
                <w:szCs w:val="21"/>
              </w:rPr>
            </w:pPr>
            <w:r>
              <w:rPr>
                <w:rFonts w:hint="eastAsia" w:ascii="楷体" w:hAnsi="楷体" w:eastAsia="楷体" w:cs="楷体"/>
                <w:spacing w:val="-10"/>
                <w:szCs w:val="21"/>
              </w:rPr>
              <w:t>当期所得税=当期应交所得税</w:t>
            </w:r>
          </w:p>
          <w:p w14:paraId="165C98AA">
            <w:pPr>
              <w:ind w:firstLine="380" w:firstLineChars="200"/>
              <w:jc w:val="left"/>
              <w:rPr>
                <w:rFonts w:hint="eastAsia" w:ascii="宋体" w:hAnsi="宋体" w:cs="宋体"/>
                <w:spacing w:val="-10"/>
                <w:szCs w:val="21"/>
              </w:rPr>
            </w:pPr>
            <w:r>
              <w:rPr>
                <w:rFonts w:hint="eastAsia" w:ascii="宋体" w:hAnsi="宋体" w:cs="宋体"/>
                <w:spacing w:val="-10"/>
                <w:szCs w:val="21"/>
              </w:rPr>
              <w:t>企业在确定当期所得税时，对于当期发生的交易或事项，会计处理与税收处理不同的，应在会计利润的基础上，按照适用税收法规的要求进行调整，计算出当期应纳税所得额，按照应纳税所得额与适用所得税税率计算，确定当期应交所得税。</w:t>
            </w:r>
          </w:p>
          <w:p w14:paraId="58E196F2">
            <w:pPr>
              <w:ind w:firstLine="382" w:firstLineChars="200"/>
              <w:jc w:val="left"/>
              <w:rPr>
                <w:rFonts w:hint="eastAsia" w:ascii="宋体" w:hAnsi="宋体" w:cs="宋体"/>
                <w:b/>
                <w:bCs/>
                <w:spacing w:val="-10"/>
                <w:szCs w:val="21"/>
              </w:rPr>
            </w:pPr>
            <w:r>
              <w:rPr>
                <w:rFonts w:hint="eastAsia" w:ascii="宋体" w:hAnsi="宋体" w:cs="宋体"/>
                <w:b/>
                <w:bCs/>
                <w:spacing w:val="-10"/>
                <w:szCs w:val="21"/>
                <w:lang w:eastAsia="zh-CN"/>
              </w:rPr>
              <w:t>（</w:t>
            </w:r>
            <w:r>
              <w:rPr>
                <w:rFonts w:hint="eastAsia" w:ascii="宋体" w:hAnsi="宋体" w:cs="宋体"/>
                <w:b/>
                <w:bCs/>
                <w:spacing w:val="-10"/>
                <w:szCs w:val="21"/>
                <w:lang w:val="en-US" w:eastAsia="zh-CN"/>
              </w:rPr>
              <w:t>二</w:t>
            </w:r>
            <w:r>
              <w:rPr>
                <w:rFonts w:hint="eastAsia" w:ascii="宋体" w:hAnsi="宋体" w:cs="宋体"/>
                <w:b/>
                <w:bCs/>
                <w:spacing w:val="-10"/>
                <w:szCs w:val="21"/>
                <w:lang w:eastAsia="zh-CN"/>
              </w:rPr>
              <w:t>）</w:t>
            </w:r>
            <w:r>
              <w:rPr>
                <w:rFonts w:hint="eastAsia" w:ascii="宋体" w:hAnsi="宋体" w:cs="宋体"/>
                <w:b/>
                <w:bCs/>
                <w:spacing w:val="-10"/>
                <w:szCs w:val="21"/>
              </w:rPr>
              <w:t>递延所得税费用(或收益)</w:t>
            </w:r>
          </w:p>
          <w:p w14:paraId="7F10C5D9">
            <w:pPr>
              <w:ind w:firstLine="380" w:firstLineChars="200"/>
              <w:jc w:val="left"/>
              <w:rPr>
                <w:rFonts w:hint="eastAsia" w:ascii="宋体" w:hAnsi="宋体" w:cs="宋体"/>
                <w:spacing w:val="-10"/>
                <w:szCs w:val="21"/>
              </w:rPr>
            </w:pPr>
            <w:r>
              <w:rPr>
                <w:rFonts w:hint="eastAsia" w:ascii="宋体" w:hAnsi="宋体" w:cs="宋体"/>
                <w:spacing w:val="-10"/>
                <w:szCs w:val="21"/>
              </w:rPr>
              <w:t>递延所得税费用(或收益)是指按照企业会计准则规定应予确认的递延所得税资产和递延所得税负债在期末应有的金额相对于原已确认金额之间的差额，即递延所得税资产及递延所得税负债的当期发生额，但不包括计入所有者权益的交易或事项及企业合并的所得税影响。用公式表示为：</w:t>
            </w:r>
          </w:p>
          <w:p w14:paraId="2FC10961">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递延所得税费用（收益）=当期递延所得税负债的增加+当期递延所得税资产的减少-当期递延所得税负债的减少-当期递延所得税资产的增加</w:t>
            </w:r>
          </w:p>
          <w:p w14:paraId="3947ED29">
            <w:pPr>
              <w:ind w:firstLine="380" w:firstLineChars="200"/>
              <w:jc w:val="left"/>
              <w:rPr>
                <w:rFonts w:hint="eastAsia" w:ascii="宋体" w:hAnsi="宋体" w:cs="宋体"/>
                <w:spacing w:val="-10"/>
                <w:szCs w:val="21"/>
              </w:rPr>
            </w:pPr>
            <w:r>
              <w:rPr>
                <w:rFonts w:hint="eastAsia" w:ascii="宋体" w:hAnsi="宋体" w:cs="宋体"/>
                <w:spacing w:val="-10"/>
                <w:szCs w:val="21"/>
              </w:rPr>
              <w:t>值得注意的是：如果某项交易或事项按照企业会计准则规定应计入所有者权益，由该交易或事项产生的递延所得税资产或递延所得税负债及其变化亦应计入所有者权益，不构成利润表中的递延所得税费用(或收益)。</w:t>
            </w:r>
          </w:p>
          <w:p w14:paraId="01CB5088">
            <w:pPr>
              <w:ind w:firstLine="382" w:firstLineChars="200"/>
              <w:jc w:val="left"/>
              <w:rPr>
                <w:rFonts w:hint="eastAsia" w:ascii="宋体" w:hAnsi="宋体" w:cs="宋体"/>
                <w:b/>
                <w:bCs/>
                <w:spacing w:val="-10"/>
                <w:szCs w:val="21"/>
              </w:rPr>
            </w:pPr>
            <w:r>
              <w:rPr>
                <w:rFonts w:hint="eastAsia" w:ascii="宋体" w:hAnsi="宋体" w:cs="宋体"/>
                <w:b/>
                <w:bCs/>
                <w:spacing w:val="-10"/>
                <w:szCs w:val="21"/>
                <w:lang w:eastAsia="zh-CN"/>
              </w:rPr>
              <w:t>（</w:t>
            </w:r>
            <w:r>
              <w:rPr>
                <w:rFonts w:hint="eastAsia" w:ascii="宋体" w:hAnsi="宋体" w:cs="宋体"/>
                <w:b/>
                <w:bCs/>
                <w:spacing w:val="-10"/>
                <w:szCs w:val="21"/>
                <w:lang w:val="en-US" w:eastAsia="zh-CN"/>
              </w:rPr>
              <w:t>三</w:t>
            </w:r>
            <w:r>
              <w:rPr>
                <w:rFonts w:hint="eastAsia" w:ascii="宋体" w:hAnsi="宋体" w:cs="宋体"/>
                <w:b/>
                <w:bCs/>
                <w:spacing w:val="-10"/>
                <w:szCs w:val="21"/>
                <w:lang w:eastAsia="zh-CN"/>
              </w:rPr>
              <w:t>）</w:t>
            </w:r>
            <w:r>
              <w:rPr>
                <w:rFonts w:hint="eastAsia" w:ascii="宋体" w:hAnsi="宋体" w:cs="宋体"/>
                <w:b/>
                <w:bCs/>
                <w:spacing w:val="-10"/>
                <w:szCs w:val="21"/>
              </w:rPr>
              <w:t>所得税费用</w:t>
            </w:r>
          </w:p>
          <w:p w14:paraId="4449EA0B">
            <w:pPr>
              <w:ind w:firstLine="380" w:firstLineChars="200"/>
              <w:jc w:val="left"/>
              <w:rPr>
                <w:rFonts w:hint="eastAsia" w:ascii="宋体" w:hAnsi="宋体" w:cs="宋体"/>
                <w:spacing w:val="-10"/>
                <w:szCs w:val="21"/>
              </w:rPr>
            </w:pPr>
            <w:r>
              <w:rPr>
                <w:rFonts w:hint="eastAsia" w:ascii="宋体" w:hAnsi="宋体" w:cs="宋体"/>
                <w:spacing w:val="-10"/>
                <w:szCs w:val="21"/>
              </w:rPr>
              <w:t>在计算确定了当期所得税及递延所得税以后，利润表中应予确认的所得税费用为两者之和，即：</w:t>
            </w:r>
          </w:p>
          <w:p w14:paraId="6922CCB9">
            <w:pPr>
              <w:jc w:val="center"/>
              <w:rPr>
                <w:rFonts w:hint="eastAsia" w:ascii="楷体" w:hAnsi="楷体" w:eastAsia="楷体" w:cs="楷体"/>
                <w:spacing w:val="-10"/>
                <w:szCs w:val="21"/>
              </w:rPr>
            </w:pPr>
            <w:r>
              <w:rPr>
                <w:rFonts w:hint="eastAsia" w:ascii="楷体" w:hAnsi="楷体" w:eastAsia="楷体" w:cs="楷体"/>
                <w:spacing w:val="-10"/>
                <w:szCs w:val="21"/>
              </w:rPr>
              <w:t>所得税费用=当期所得税士递延所得税费用(或收益)</w:t>
            </w:r>
          </w:p>
          <w:p w14:paraId="7A1F91AD">
            <w:pPr>
              <w:jc w:val="left"/>
              <w:rPr>
                <w:rFonts w:hint="eastAsia" w:ascii="宋体" w:hAnsi="宋体" w:cs="宋体"/>
                <w:b/>
                <w:bCs/>
                <w:spacing w:val="-10"/>
                <w:szCs w:val="21"/>
              </w:rPr>
            </w:pPr>
            <w:r>
              <w:rPr>
                <w:rFonts w:hint="eastAsia" w:ascii="宋体" w:hAnsi="宋体" w:cs="宋体"/>
                <w:b/>
                <w:bCs/>
                <w:spacing w:val="-10"/>
                <w:szCs w:val="21"/>
              </w:rPr>
              <w:t>【典型案例10-</w:t>
            </w:r>
            <w:r>
              <w:rPr>
                <w:rFonts w:hint="eastAsia" w:ascii="宋体" w:hAnsi="宋体" w:cs="宋体"/>
                <w:b/>
                <w:bCs/>
                <w:spacing w:val="-10"/>
                <w:szCs w:val="21"/>
                <w:lang w:val="en-US" w:eastAsia="zh-CN"/>
              </w:rPr>
              <w:t>9</w:t>
            </w:r>
            <w:r>
              <w:rPr>
                <w:rFonts w:hint="eastAsia" w:ascii="宋体" w:hAnsi="宋体" w:cs="宋体"/>
                <w:b/>
                <w:bCs/>
                <w:spacing w:val="-10"/>
                <w:szCs w:val="21"/>
              </w:rPr>
              <w:t>】</w:t>
            </w:r>
          </w:p>
          <w:p w14:paraId="12DFC436">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lang w:val="en-US" w:eastAsia="zh-CN"/>
              </w:rPr>
              <w:t>H</w:t>
            </w:r>
            <w:r>
              <w:rPr>
                <w:rFonts w:hint="eastAsia" w:ascii="楷体" w:hAnsi="楷体" w:eastAsia="楷体" w:cs="楷体"/>
                <w:spacing w:val="-10"/>
                <w:szCs w:val="21"/>
              </w:rPr>
              <w:t>公司2</w:t>
            </w:r>
            <w:r>
              <w:rPr>
                <w:rFonts w:hint="default" w:ascii="Arial" w:hAnsi="Arial" w:eastAsia="楷体" w:cs="Arial"/>
                <w:spacing w:val="-10"/>
                <w:szCs w:val="21"/>
              </w:rPr>
              <w:t>×</w:t>
            </w:r>
            <w:r>
              <w:rPr>
                <w:rFonts w:hint="eastAsia" w:ascii="楷体" w:hAnsi="楷体" w:eastAsia="楷体" w:cs="楷体"/>
                <w:spacing w:val="-10"/>
                <w:szCs w:val="21"/>
                <w:lang w:val="en-US" w:eastAsia="zh-CN"/>
              </w:rPr>
              <w:t>24</w:t>
            </w:r>
            <w:r>
              <w:rPr>
                <w:rFonts w:hint="eastAsia" w:ascii="楷体" w:hAnsi="楷体" w:eastAsia="楷体" w:cs="楷体"/>
                <w:spacing w:val="-10"/>
                <w:szCs w:val="21"/>
              </w:rPr>
              <w:t>年度利润表中利润总额为</w:t>
            </w:r>
            <w:r>
              <w:rPr>
                <w:rFonts w:hint="eastAsia" w:ascii="楷体" w:hAnsi="楷体" w:eastAsia="楷体" w:cs="楷体"/>
                <w:spacing w:val="-10"/>
                <w:szCs w:val="21"/>
                <w:lang w:val="en-US" w:eastAsia="zh-CN"/>
              </w:rPr>
              <w:t>2</w:t>
            </w:r>
            <w:r>
              <w:rPr>
                <w:rFonts w:hint="eastAsia" w:ascii="楷体" w:hAnsi="楷体" w:eastAsia="楷体" w:cs="楷体"/>
                <w:spacing w:val="-10"/>
                <w:szCs w:val="21"/>
              </w:rPr>
              <w:t>000万元，该公司适用的所得税税率为25%</w:t>
            </w:r>
            <w:r>
              <w:rPr>
                <w:rFonts w:hint="eastAsia" w:ascii="楷体" w:hAnsi="楷体" w:eastAsia="楷体" w:cs="楷体"/>
                <w:spacing w:val="-10"/>
                <w:szCs w:val="21"/>
                <w:lang w:eastAsia="zh-CN"/>
              </w:rPr>
              <w:t>，</w:t>
            </w:r>
            <w:r>
              <w:rPr>
                <w:rFonts w:hint="eastAsia" w:ascii="楷体" w:hAnsi="楷体" w:eastAsia="楷体" w:cs="楷体"/>
                <w:spacing w:val="-10"/>
                <w:szCs w:val="21"/>
              </w:rPr>
              <w:t>所得税采用资产负债表债务法进行核算。2</w:t>
            </w:r>
            <w:r>
              <w:rPr>
                <w:rFonts w:hint="default" w:ascii="Arial" w:hAnsi="Arial" w:eastAsia="楷体" w:cs="Arial"/>
                <w:spacing w:val="-10"/>
                <w:szCs w:val="21"/>
              </w:rPr>
              <w:t>×</w:t>
            </w:r>
            <w:r>
              <w:rPr>
                <w:rFonts w:hint="eastAsia" w:ascii="楷体" w:hAnsi="楷体" w:eastAsia="楷体" w:cs="楷体"/>
                <w:spacing w:val="-10"/>
                <w:szCs w:val="21"/>
                <w:lang w:val="en-US" w:eastAsia="zh-CN"/>
              </w:rPr>
              <w:t>24</w:t>
            </w:r>
            <w:r>
              <w:rPr>
                <w:rFonts w:hint="eastAsia" w:ascii="楷体" w:hAnsi="楷体" w:eastAsia="楷体" w:cs="楷体"/>
                <w:spacing w:val="-10"/>
                <w:szCs w:val="21"/>
              </w:rPr>
              <w:t>年发生的有关交易或事项中，会计处理与税收处理存在的差别有：</w:t>
            </w:r>
          </w:p>
          <w:p w14:paraId="7E96C979">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(1)2</w:t>
            </w:r>
            <w:r>
              <w:rPr>
                <w:rFonts w:hint="default" w:ascii="Arial" w:hAnsi="Arial" w:eastAsia="楷体" w:cs="Arial"/>
                <w:spacing w:val="-10"/>
                <w:szCs w:val="21"/>
              </w:rPr>
              <w:t>×</w:t>
            </w:r>
            <w:r>
              <w:rPr>
                <w:rFonts w:hint="eastAsia" w:ascii="楷体" w:hAnsi="楷体" w:eastAsia="楷体" w:cs="楷体"/>
                <w:spacing w:val="-10"/>
                <w:szCs w:val="21"/>
                <w:lang w:val="en-US" w:eastAsia="zh-CN"/>
              </w:rPr>
              <w:t>23</w:t>
            </w:r>
            <w:r>
              <w:rPr>
                <w:rFonts w:hint="eastAsia" w:ascii="楷体" w:hAnsi="楷体" w:eastAsia="楷体" w:cs="楷体"/>
                <w:spacing w:val="-10"/>
                <w:szCs w:val="21"/>
              </w:rPr>
              <w:t>年12月取得一项固定资产，成本</w:t>
            </w:r>
            <w:r>
              <w:rPr>
                <w:rFonts w:hint="eastAsia" w:ascii="楷体" w:hAnsi="楷体" w:eastAsia="楷体" w:cs="楷体"/>
                <w:spacing w:val="-10"/>
                <w:szCs w:val="21"/>
                <w:lang w:val="en-US" w:eastAsia="zh-CN"/>
              </w:rPr>
              <w:t>12</w:t>
            </w:r>
            <w:r>
              <w:rPr>
                <w:rFonts w:hint="eastAsia" w:ascii="楷体" w:hAnsi="楷体" w:eastAsia="楷体" w:cs="楷体"/>
                <w:spacing w:val="-10"/>
                <w:szCs w:val="21"/>
              </w:rPr>
              <w:t>00万元，使用年限为10年，净残值为零，会计上按平均年限法计提折旧，税收按双倍余额递减法计提折旧。假定税法规定的使用年限和净残值与会计规定相同。</w:t>
            </w:r>
          </w:p>
          <w:p w14:paraId="57F33C03">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(2)向某公司赞助</w:t>
            </w:r>
            <w:r>
              <w:rPr>
                <w:rFonts w:hint="eastAsia" w:ascii="楷体" w:hAnsi="楷体" w:eastAsia="楷体" w:cs="楷体"/>
                <w:spacing w:val="-10"/>
                <w:szCs w:val="21"/>
                <w:lang w:val="en-US" w:eastAsia="zh-CN"/>
              </w:rPr>
              <w:t>2</w:t>
            </w:r>
            <w:r>
              <w:rPr>
                <w:rFonts w:hint="eastAsia" w:ascii="楷体" w:hAnsi="楷体" w:eastAsia="楷体" w:cs="楷体"/>
                <w:spacing w:val="-10"/>
                <w:szCs w:val="21"/>
              </w:rPr>
              <w:t>00万元银行存款。</w:t>
            </w:r>
          </w:p>
          <w:p w14:paraId="75B8E0A1">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(3)应付违法经营罚款</w:t>
            </w:r>
            <w:r>
              <w:rPr>
                <w:rFonts w:hint="eastAsia" w:ascii="楷体" w:hAnsi="楷体" w:eastAsia="楷体" w:cs="楷体"/>
                <w:spacing w:val="-10"/>
                <w:szCs w:val="21"/>
                <w:lang w:val="en-US" w:eastAsia="zh-CN"/>
              </w:rPr>
              <w:t>6</w:t>
            </w:r>
            <w:r>
              <w:rPr>
                <w:rFonts w:hint="eastAsia" w:ascii="楷体" w:hAnsi="楷体" w:eastAsia="楷体" w:cs="楷体"/>
                <w:spacing w:val="-10"/>
                <w:szCs w:val="21"/>
              </w:rPr>
              <w:t>0万元。</w:t>
            </w:r>
          </w:p>
          <w:p w14:paraId="22887330">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(4)期末对持有的</w:t>
            </w:r>
            <w:r>
              <w:rPr>
                <w:rFonts w:hint="eastAsia" w:ascii="楷体" w:hAnsi="楷体" w:eastAsia="楷体" w:cs="楷体"/>
                <w:spacing w:val="-10"/>
                <w:szCs w:val="21"/>
                <w:lang w:val="en-US" w:eastAsia="zh-CN"/>
              </w:rPr>
              <w:t>70</w:t>
            </w:r>
            <w:r>
              <w:rPr>
                <w:rFonts w:hint="eastAsia" w:ascii="楷体" w:hAnsi="楷体" w:eastAsia="楷体" w:cs="楷体"/>
                <w:spacing w:val="-10"/>
                <w:szCs w:val="21"/>
              </w:rPr>
              <w:t>0万元存货计提了</w:t>
            </w:r>
            <w:r>
              <w:rPr>
                <w:rFonts w:hint="eastAsia" w:ascii="楷体" w:hAnsi="楷体" w:eastAsia="楷体" w:cs="楷体"/>
                <w:spacing w:val="-10"/>
                <w:szCs w:val="21"/>
                <w:lang w:val="en-US" w:eastAsia="zh-CN"/>
              </w:rPr>
              <w:t>10</w:t>
            </w:r>
            <w:r>
              <w:rPr>
                <w:rFonts w:hint="eastAsia" w:ascii="楷体" w:hAnsi="楷体" w:eastAsia="楷体" w:cs="楷体"/>
                <w:spacing w:val="-10"/>
                <w:szCs w:val="21"/>
              </w:rPr>
              <w:t>0万元的存货跌价准备。</w:t>
            </w:r>
          </w:p>
          <w:p w14:paraId="105E7EC3">
            <w:pPr>
              <w:ind w:firstLine="380" w:firstLineChars="200"/>
              <w:jc w:val="left"/>
              <w:rPr>
                <w:rFonts w:hint="eastAsia" w:ascii="楷体" w:hAnsi="楷体" w:eastAsia="楷体" w:cs="楷体"/>
                <w:spacing w:val="-10"/>
                <w:szCs w:val="21"/>
                <w:lang w:eastAsia="zh-CN"/>
              </w:rPr>
            </w:pPr>
            <w:r>
              <w:rPr>
                <w:rFonts w:hint="eastAsia" w:ascii="楷体" w:hAnsi="楷体" w:eastAsia="楷体" w:cs="楷体"/>
                <w:spacing w:val="-10"/>
                <w:szCs w:val="21"/>
              </w:rPr>
              <w:t>(5)2</w:t>
            </w:r>
            <w:r>
              <w:rPr>
                <w:rFonts w:hint="default" w:ascii="Arial" w:hAnsi="Arial" w:eastAsia="楷体" w:cs="Arial"/>
                <w:spacing w:val="-10"/>
                <w:szCs w:val="21"/>
              </w:rPr>
              <w:t>×</w:t>
            </w:r>
            <w:r>
              <w:rPr>
                <w:rFonts w:hint="eastAsia" w:ascii="楷体" w:hAnsi="楷体" w:eastAsia="楷体" w:cs="楷体"/>
                <w:spacing w:val="-10"/>
                <w:szCs w:val="21"/>
                <w:lang w:val="en-US" w:eastAsia="zh-CN"/>
              </w:rPr>
              <w:t>24</w:t>
            </w:r>
            <w:r>
              <w:rPr>
                <w:rFonts w:hint="eastAsia" w:ascii="楷体" w:hAnsi="楷体" w:eastAsia="楷体" w:cs="楷体"/>
                <w:spacing w:val="-10"/>
                <w:szCs w:val="21"/>
              </w:rPr>
              <w:t>年1月12日取得的某项无形资产，取得成本为</w:t>
            </w:r>
            <w:r>
              <w:rPr>
                <w:rFonts w:hint="eastAsia" w:ascii="楷体" w:hAnsi="楷体" w:eastAsia="楷体" w:cs="楷体"/>
                <w:spacing w:val="-10"/>
                <w:szCs w:val="21"/>
                <w:lang w:val="en-US" w:eastAsia="zh-CN"/>
              </w:rPr>
              <w:t>8</w:t>
            </w:r>
            <w:r>
              <w:rPr>
                <w:rFonts w:hint="eastAsia" w:ascii="楷体" w:hAnsi="楷体" w:eastAsia="楷体" w:cs="楷体"/>
                <w:spacing w:val="-10"/>
                <w:szCs w:val="21"/>
              </w:rPr>
              <w:t>00万元，会计确认的摊销年限为5年，税法规定的摊销期限为10年，均采用直线法。</w:t>
            </w:r>
          </w:p>
          <w:p w14:paraId="5D237B55">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lang w:val="en-US" w:eastAsia="zh-CN"/>
              </w:rPr>
              <w:t>要求</w:t>
            </w:r>
            <w:r>
              <w:rPr>
                <w:rFonts w:hint="eastAsia" w:ascii="楷体" w:hAnsi="楷体" w:eastAsia="楷体" w:cs="楷体"/>
                <w:spacing w:val="-10"/>
                <w:szCs w:val="21"/>
              </w:rPr>
              <w:t>：</w:t>
            </w:r>
          </w:p>
          <w:p w14:paraId="2ABC687E">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(1)上述五项业务中，哪些业务会产生暂时性差异</w:t>
            </w:r>
            <w:r>
              <w:rPr>
                <w:rFonts w:hint="eastAsia" w:ascii="楷体" w:hAnsi="楷体" w:eastAsia="楷体" w:cs="楷体"/>
                <w:spacing w:val="-10"/>
                <w:szCs w:val="21"/>
                <w:lang w:eastAsia="zh-CN"/>
              </w:rPr>
              <w:t>？</w:t>
            </w:r>
          </w:p>
          <w:p w14:paraId="757F2C36">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(2)指出暂时性差异的类型，并确认暂时性差异的金额。</w:t>
            </w:r>
          </w:p>
          <w:p w14:paraId="7CE75B85">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(3)确认递延所得税资产或递延所得税负债的金额。</w:t>
            </w:r>
          </w:p>
          <w:p w14:paraId="12E5320E">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(4)计算确认2</w:t>
            </w:r>
            <w:r>
              <w:rPr>
                <w:rFonts w:hint="default" w:ascii="Arial" w:hAnsi="Arial" w:eastAsia="楷体" w:cs="Arial"/>
                <w:spacing w:val="-10"/>
                <w:szCs w:val="21"/>
              </w:rPr>
              <w:t>×</w:t>
            </w:r>
            <w:r>
              <w:rPr>
                <w:rFonts w:hint="eastAsia" w:ascii="楷体" w:hAnsi="楷体" w:eastAsia="楷体" w:cs="楷体"/>
                <w:spacing w:val="-10"/>
                <w:szCs w:val="21"/>
                <w:lang w:val="en-US" w:eastAsia="zh-CN"/>
              </w:rPr>
              <w:t>24</w:t>
            </w:r>
            <w:r>
              <w:rPr>
                <w:rFonts w:hint="eastAsia" w:ascii="楷体" w:hAnsi="楷体" w:eastAsia="楷体" w:cs="楷体"/>
                <w:spacing w:val="-10"/>
                <w:szCs w:val="21"/>
              </w:rPr>
              <w:t>年应交企业所得税及所得税费用。</w:t>
            </w:r>
          </w:p>
          <w:p w14:paraId="0273CB3A">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(5)完成对企业所得税的账务处理。</w:t>
            </w:r>
          </w:p>
          <w:p w14:paraId="64A8037E">
            <w:pPr>
              <w:jc w:val="left"/>
              <w:rPr>
                <w:rFonts w:hint="eastAsia" w:ascii="宋体" w:hAnsi="宋体" w:cs="宋体"/>
                <w:b/>
                <w:bCs/>
                <w:spacing w:val="-10"/>
                <w:szCs w:val="21"/>
              </w:rPr>
            </w:pPr>
            <w:r>
              <w:rPr>
                <w:rFonts w:hint="eastAsia" w:ascii="宋体" w:hAnsi="宋体" w:cs="宋体"/>
                <w:b/>
                <w:bCs/>
                <w:spacing w:val="-10"/>
                <w:szCs w:val="21"/>
              </w:rPr>
              <w:t>【典型案例10-</w:t>
            </w:r>
            <w:r>
              <w:rPr>
                <w:rFonts w:hint="eastAsia" w:ascii="宋体" w:hAnsi="宋体" w:cs="宋体"/>
                <w:b/>
                <w:bCs/>
                <w:spacing w:val="-10"/>
                <w:szCs w:val="21"/>
                <w:lang w:val="en-US" w:eastAsia="zh-CN"/>
              </w:rPr>
              <w:t>9</w:t>
            </w:r>
            <w:r>
              <w:rPr>
                <w:rFonts w:hint="eastAsia" w:ascii="宋体" w:hAnsi="宋体" w:cs="宋体"/>
                <w:b/>
                <w:bCs/>
                <w:spacing w:val="-10"/>
                <w:szCs w:val="21"/>
              </w:rPr>
              <w:t>解析】</w:t>
            </w:r>
          </w:p>
          <w:p w14:paraId="18D50DAA">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(1)上述五项业务中，第1、4和5题会产生暂时性差异。</w:t>
            </w:r>
          </w:p>
          <w:p w14:paraId="687FC874">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(2)第1题固定资产账面价值</w:t>
            </w:r>
            <w:r>
              <w:rPr>
                <w:rFonts w:hint="eastAsia" w:ascii="楷体" w:hAnsi="楷体" w:eastAsia="楷体" w:cs="楷体"/>
                <w:spacing w:val="-10"/>
                <w:szCs w:val="21"/>
                <w:lang w:val="en-US" w:eastAsia="zh-CN"/>
              </w:rPr>
              <w:t>108</w:t>
            </w:r>
            <w:r>
              <w:rPr>
                <w:rFonts w:hint="eastAsia" w:ascii="楷体" w:hAnsi="楷体" w:eastAsia="楷体" w:cs="楷体"/>
                <w:spacing w:val="-10"/>
                <w:szCs w:val="21"/>
              </w:rPr>
              <w:t>0万元，计税基础</w:t>
            </w:r>
            <w:r>
              <w:rPr>
                <w:rFonts w:hint="eastAsia" w:ascii="楷体" w:hAnsi="楷体" w:eastAsia="楷体" w:cs="楷体"/>
                <w:spacing w:val="-10"/>
                <w:szCs w:val="21"/>
                <w:lang w:val="en-US" w:eastAsia="zh-CN"/>
              </w:rPr>
              <w:t>96</w:t>
            </w:r>
            <w:r>
              <w:rPr>
                <w:rFonts w:hint="eastAsia" w:ascii="楷体" w:hAnsi="楷体" w:eastAsia="楷体" w:cs="楷体"/>
                <w:spacing w:val="-10"/>
                <w:szCs w:val="21"/>
              </w:rPr>
              <w:t>0万元，产生应纳税暂时性差异</w:t>
            </w:r>
            <w:r>
              <w:rPr>
                <w:rFonts w:hint="eastAsia" w:ascii="楷体" w:hAnsi="楷体" w:eastAsia="楷体" w:cs="楷体"/>
                <w:spacing w:val="-10"/>
                <w:szCs w:val="21"/>
                <w:lang w:val="en-US" w:eastAsia="zh-CN"/>
              </w:rPr>
              <w:t>12</w:t>
            </w:r>
            <w:r>
              <w:rPr>
                <w:rFonts w:hint="eastAsia" w:ascii="楷体" w:hAnsi="楷体" w:eastAsia="楷体" w:cs="楷体"/>
                <w:spacing w:val="-10"/>
                <w:szCs w:val="21"/>
              </w:rPr>
              <w:t>0万元；第4题存货账面价值</w:t>
            </w:r>
            <w:r>
              <w:rPr>
                <w:rFonts w:hint="eastAsia" w:ascii="楷体" w:hAnsi="楷体" w:eastAsia="楷体" w:cs="楷体"/>
                <w:spacing w:val="-10"/>
                <w:szCs w:val="21"/>
                <w:lang w:val="en-US" w:eastAsia="zh-CN"/>
              </w:rPr>
              <w:t>6</w:t>
            </w:r>
            <w:r>
              <w:rPr>
                <w:rFonts w:hint="eastAsia" w:ascii="楷体" w:hAnsi="楷体" w:eastAsia="楷体" w:cs="楷体"/>
                <w:spacing w:val="-10"/>
                <w:szCs w:val="21"/>
              </w:rPr>
              <w:t>00万元，计税基础</w:t>
            </w:r>
            <w:r>
              <w:rPr>
                <w:rFonts w:hint="eastAsia" w:ascii="楷体" w:hAnsi="楷体" w:eastAsia="楷体" w:cs="楷体"/>
                <w:spacing w:val="-10"/>
                <w:szCs w:val="21"/>
                <w:lang w:val="en-US" w:eastAsia="zh-CN"/>
              </w:rPr>
              <w:t>70</w:t>
            </w:r>
            <w:r>
              <w:rPr>
                <w:rFonts w:hint="eastAsia" w:ascii="楷体" w:hAnsi="楷体" w:eastAsia="楷体" w:cs="楷体"/>
                <w:spacing w:val="-10"/>
                <w:szCs w:val="21"/>
              </w:rPr>
              <w:t>0万元，产生可抵扣暂时性差异</w:t>
            </w:r>
            <w:r>
              <w:rPr>
                <w:rFonts w:hint="eastAsia" w:ascii="楷体" w:hAnsi="楷体" w:eastAsia="楷体" w:cs="楷体"/>
                <w:spacing w:val="-10"/>
                <w:szCs w:val="21"/>
                <w:lang w:val="en-US" w:eastAsia="zh-CN"/>
              </w:rPr>
              <w:t>10</w:t>
            </w:r>
            <w:r>
              <w:rPr>
                <w:rFonts w:hint="eastAsia" w:ascii="楷体" w:hAnsi="楷体" w:eastAsia="楷体" w:cs="楷体"/>
                <w:spacing w:val="-10"/>
                <w:szCs w:val="21"/>
              </w:rPr>
              <w:t>0万元；第5题</w:t>
            </w:r>
            <w:r>
              <w:rPr>
                <w:rFonts w:hint="eastAsia" w:ascii="楷体" w:hAnsi="楷体" w:eastAsia="楷体" w:cs="楷体"/>
                <w:spacing w:val="-10"/>
                <w:szCs w:val="21"/>
                <w:lang w:val="en-US" w:eastAsia="zh-CN"/>
              </w:rPr>
              <w:t>无形资产</w:t>
            </w:r>
            <w:r>
              <w:rPr>
                <w:rFonts w:hint="eastAsia" w:ascii="楷体" w:hAnsi="楷体" w:eastAsia="楷体" w:cs="楷体"/>
                <w:spacing w:val="-10"/>
                <w:szCs w:val="21"/>
              </w:rPr>
              <w:t>的账面价值</w:t>
            </w:r>
            <w:r>
              <w:rPr>
                <w:rFonts w:hint="eastAsia" w:ascii="楷体" w:hAnsi="楷体" w:eastAsia="楷体" w:cs="楷体"/>
                <w:spacing w:val="-10"/>
                <w:szCs w:val="21"/>
                <w:lang w:val="en-US" w:eastAsia="zh-CN"/>
              </w:rPr>
              <w:t>640</w:t>
            </w:r>
            <w:r>
              <w:rPr>
                <w:rFonts w:hint="eastAsia" w:ascii="楷体" w:hAnsi="楷体" w:eastAsia="楷体" w:cs="楷体"/>
                <w:spacing w:val="-10"/>
                <w:szCs w:val="21"/>
              </w:rPr>
              <w:t>万元，计税基础为</w:t>
            </w:r>
            <w:r>
              <w:rPr>
                <w:rFonts w:hint="eastAsia" w:ascii="楷体" w:hAnsi="楷体" w:eastAsia="楷体" w:cs="楷体"/>
                <w:spacing w:val="-10"/>
                <w:szCs w:val="21"/>
                <w:lang w:val="en-US" w:eastAsia="zh-CN"/>
              </w:rPr>
              <w:t>720，</w:t>
            </w:r>
            <w:r>
              <w:rPr>
                <w:rFonts w:hint="eastAsia" w:ascii="楷体" w:hAnsi="楷体" w:eastAsia="楷体" w:cs="楷体"/>
                <w:spacing w:val="-10"/>
                <w:szCs w:val="21"/>
              </w:rPr>
              <w:t>产生可抵扣暂时性差异</w:t>
            </w:r>
            <w:r>
              <w:rPr>
                <w:rFonts w:hint="eastAsia" w:ascii="楷体" w:hAnsi="楷体" w:eastAsia="楷体" w:cs="楷体"/>
                <w:spacing w:val="-10"/>
                <w:szCs w:val="21"/>
                <w:lang w:val="en-US" w:eastAsia="zh-CN"/>
              </w:rPr>
              <w:t>80</w:t>
            </w:r>
            <w:r>
              <w:rPr>
                <w:rFonts w:hint="eastAsia" w:ascii="楷体" w:hAnsi="楷体" w:eastAsia="楷体" w:cs="楷体"/>
                <w:spacing w:val="-10"/>
                <w:szCs w:val="21"/>
              </w:rPr>
              <w:t>万元。</w:t>
            </w:r>
          </w:p>
          <w:p w14:paraId="5D73A334">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(3)可抵扣暂时性差异合计</w:t>
            </w:r>
            <w:r>
              <w:rPr>
                <w:rFonts w:hint="eastAsia" w:ascii="楷体" w:hAnsi="楷体" w:eastAsia="楷体" w:cs="楷体"/>
                <w:spacing w:val="-10"/>
                <w:szCs w:val="21"/>
                <w:lang w:val="en-US" w:eastAsia="zh-CN"/>
              </w:rPr>
              <w:t>180</w:t>
            </w:r>
            <w:r>
              <w:rPr>
                <w:rFonts w:hint="eastAsia" w:ascii="楷体" w:hAnsi="楷体" w:eastAsia="楷体" w:cs="楷体"/>
                <w:spacing w:val="-10"/>
                <w:szCs w:val="21"/>
              </w:rPr>
              <w:t>万元，产生递延所得税资产</w:t>
            </w:r>
            <w:r>
              <w:rPr>
                <w:rFonts w:hint="eastAsia" w:ascii="楷体" w:hAnsi="楷体" w:eastAsia="楷体" w:cs="楷体"/>
                <w:spacing w:val="-10"/>
                <w:szCs w:val="21"/>
                <w:lang w:val="en-US" w:eastAsia="zh-CN"/>
              </w:rPr>
              <w:t>45</w:t>
            </w:r>
            <w:r>
              <w:rPr>
                <w:rFonts w:hint="eastAsia" w:ascii="楷体" w:hAnsi="楷体" w:eastAsia="楷体" w:cs="楷体"/>
                <w:spacing w:val="-10"/>
                <w:szCs w:val="21"/>
              </w:rPr>
              <w:t>万元；应纳税暂时性差异</w:t>
            </w:r>
            <w:r>
              <w:rPr>
                <w:rFonts w:hint="eastAsia" w:ascii="楷体" w:hAnsi="楷体" w:eastAsia="楷体" w:cs="楷体"/>
                <w:spacing w:val="-10"/>
                <w:szCs w:val="21"/>
                <w:lang w:val="en-US" w:eastAsia="zh-CN"/>
              </w:rPr>
              <w:t>12</w:t>
            </w:r>
            <w:r>
              <w:rPr>
                <w:rFonts w:hint="eastAsia" w:ascii="楷体" w:hAnsi="楷体" w:eastAsia="楷体" w:cs="楷体"/>
                <w:spacing w:val="-10"/>
                <w:szCs w:val="21"/>
              </w:rPr>
              <w:t>0万元，产生递延所得税负债</w:t>
            </w:r>
            <w:r>
              <w:rPr>
                <w:rFonts w:hint="eastAsia" w:ascii="楷体" w:hAnsi="楷体" w:eastAsia="楷体" w:cs="楷体"/>
                <w:spacing w:val="-10"/>
                <w:szCs w:val="21"/>
                <w:lang w:val="en-US" w:eastAsia="zh-CN"/>
              </w:rPr>
              <w:t>30</w:t>
            </w:r>
            <w:r>
              <w:rPr>
                <w:rFonts w:hint="eastAsia" w:ascii="楷体" w:hAnsi="楷体" w:eastAsia="楷体" w:cs="楷体"/>
                <w:spacing w:val="-10"/>
                <w:szCs w:val="21"/>
              </w:rPr>
              <w:t>万元。</w:t>
            </w:r>
          </w:p>
          <w:p w14:paraId="3114ABCD">
            <w:pPr>
              <w:ind w:firstLine="380" w:firstLineChars="200"/>
              <w:jc w:val="left"/>
              <w:rPr>
                <w:rFonts w:ascii="楷体" w:hAnsi="楷体" w:eastAsia="楷体" w:cs="楷体"/>
                <w:spacing w:val="-10"/>
                <w:szCs w:val="21"/>
              </w:rPr>
            </w:pPr>
            <w:r>
              <w:rPr>
                <w:rFonts w:hint="eastAsia" w:ascii="楷体" w:hAnsi="楷体" w:eastAsia="楷体" w:cs="楷体"/>
                <w:spacing w:val="-10"/>
                <w:szCs w:val="21"/>
              </w:rPr>
              <w:t>(4)2</w:t>
            </w:r>
            <w:r>
              <w:rPr>
                <w:rFonts w:hint="default" w:ascii="Arial" w:hAnsi="Arial" w:eastAsia="楷体" w:cs="Arial"/>
                <w:spacing w:val="-10"/>
                <w:szCs w:val="21"/>
              </w:rPr>
              <w:t>×</w:t>
            </w:r>
            <w:r>
              <w:rPr>
                <w:rFonts w:hint="eastAsia" w:ascii="楷体" w:hAnsi="楷体" w:eastAsia="楷体" w:cs="楷体"/>
                <w:spacing w:val="-10"/>
                <w:szCs w:val="21"/>
                <w:lang w:val="en-US" w:eastAsia="zh-CN"/>
              </w:rPr>
              <w:t>24</w:t>
            </w:r>
            <w:r>
              <w:rPr>
                <w:rFonts w:hint="eastAsia" w:ascii="楷体" w:hAnsi="楷体" w:eastAsia="楷体" w:cs="楷体"/>
                <w:spacing w:val="-10"/>
                <w:szCs w:val="21"/>
              </w:rPr>
              <w:t>年应交企业所得税=(</w:t>
            </w:r>
            <w:r>
              <w:rPr>
                <w:rFonts w:hint="eastAsia" w:ascii="楷体" w:hAnsi="楷体" w:eastAsia="楷体" w:cs="楷体"/>
                <w:spacing w:val="-10"/>
                <w:szCs w:val="21"/>
                <w:lang w:val="en-US" w:eastAsia="zh-CN"/>
              </w:rPr>
              <w:t>2</w:t>
            </w:r>
            <w:r>
              <w:rPr>
                <w:rFonts w:hint="eastAsia" w:ascii="楷体" w:hAnsi="楷体" w:eastAsia="楷体" w:cs="楷体"/>
                <w:spacing w:val="-10"/>
                <w:szCs w:val="21"/>
              </w:rPr>
              <w:t>000+</w:t>
            </w:r>
            <w:r>
              <w:rPr>
                <w:rFonts w:hint="eastAsia" w:ascii="楷体" w:hAnsi="楷体" w:eastAsia="楷体" w:cs="楷体"/>
                <w:spacing w:val="-10"/>
                <w:szCs w:val="21"/>
                <w:lang w:val="en-US" w:eastAsia="zh-CN"/>
              </w:rPr>
              <w:t>180</w:t>
            </w:r>
            <w:r>
              <w:rPr>
                <w:rFonts w:hint="eastAsia" w:ascii="楷体" w:hAnsi="楷体" w:eastAsia="楷体" w:cs="楷体"/>
                <w:spacing w:val="-10"/>
                <w:szCs w:val="21"/>
              </w:rPr>
              <w:t>+</w:t>
            </w:r>
            <w:r>
              <w:rPr>
                <w:rFonts w:hint="eastAsia" w:ascii="楷体" w:hAnsi="楷体" w:eastAsia="楷体" w:cs="楷体"/>
                <w:spacing w:val="-10"/>
                <w:szCs w:val="21"/>
                <w:lang w:val="en-US" w:eastAsia="zh-CN"/>
              </w:rPr>
              <w:t>2</w:t>
            </w:r>
            <w:r>
              <w:rPr>
                <w:rFonts w:hint="eastAsia" w:ascii="楷体" w:hAnsi="楷体" w:eastAsia="楷体" w:cs="楷体"/>
                <w:spacing w:val="-10"/>
                <w:szCs w:val="21"/>
              </w:rPr>
              <w:t>00—</w:t>
            </w:r>
            <w:r>
              <w:rPr>
                <w:rFonts w:hint="eastAsia" w:ascii="楷体" w:hAnsi="楷体" w:eastAsia="楷体" w:cs="楷体"/>
                <w:spacing w:val="-10"/>
                <w:szCs w:val="21"/>
                <w:lang w:val="en-US" w:eastAsia="zh-CN"/>
              </w:rPr>
              <w:t>12</w:t>
            </w:r>
            <w:r>
              <w:rPr>
                <w:rFonts w:hint="eastAsia" w:ascii="楷体" w:hAnsi="楷体" w:eastAsia="楷体" w:cs="楷体"/>
                <w:spacing w:val="-10"/>
                <w:szCs w:val="21"/>
              </w:rPr>
              <w:t>0+</w:t>
            </w:r>
            <w:r>
              <w:rPr>
                <w:rFonts w:hint="eastAsia" w:ascii="楷体" w:hAnsi="楷体" w:eastAsia="楷体" w:cs="楷体"/>
                <w:spacing w:val="-10"/>
                <w:szCs w:val="21"/>
                <w:lang w:val="en-US" w:eastAsia="zh-CN"/>
              </w:rPr>
              <w:t>6</w:t>
            </w:r>
            <w:r>
              <w:rPr>
                <w:rFonts w:hint="eastAsia" w:ascii="楷体" w:hAnsi="楷体" w:eastAsia="楷体" w:cs="楷体"/>
                <w:spacing w:val="-10"/>
                <w:szCs w:val="21"/>
              </w:rPr>
              <w:t>0)×25%=</w:t>
            </w:r>
            <w:r>
              <w:rPr>
                <w:rFonts w:hint="eastAsia" w:ascii="楷体" w:hAnsi="楷体" w:eastAsia="楷体" w:cs="楷体"/>
                <w:spacing w:val="-10"/>
                <w:szCs w:val="21"/>
                <w:lang w:val="en-US" w:eastAsia="zh-CN"/>
              </w:rPr>
              <w:t>58</w:t>
            </w:r>
            <w:r>
              <w:rPr>
                <w:rFonts w:hint="eastAsia" w:ascii="楷体" w:hAnsi="楷体" w:eastAsia="楷体" w:cs="楷体"/>
                <w:spacing w:val="-10"/>
                <w:szCs w:val="21"/>
              </w:rPr>
              <w:t>0（万元）</w:t>
            </w:r>
          </w:p>
          <w:p w14:paraId="57C75F85">
            <w:pPr>
              <w:ind w:firstLine="760" w:firstLineChars="400"/>
              <w:jc w:val="left"/>
              <w:rPr>
                <w:rFonts w:hint="eastAsia" w:ascii="楷体" w:hAnsi="楷体" w:eastAsia="楷体" w:cs="楷体"/>
                <w:spacing w:val="-10"/>
                <w:szCs w:val="21"/>
              </w:rPr>
            </w:pPr>
            <w:r>
              <w:rPr>
                <w:rFonts w:hint="eastAsia" w:ascii="楷体" w:hAnsi="楷体" w:eastAsia="楷体" w:cs="楷体"/>
                <w:spacing w:val="-10"/>
                <w:szCs w:val="21"/>
              </w:rPr>
              <w:t>2</w:t>
            </w:r>
            <w:r>
              <w:rPr>
                <w:rFonts w:hint="default" w:ascii="Arial" w:hAnsi="Arial" w:eastAsia="楷体" w:cs="Arial"/>
                <w:spacing w:val="-10"/>
                <w:szCs w:val="21"/>
              </w:rPr>
              <w:t>×</w:t>
            </w:r>
            <w:r>
              <w:rPr>
                <w:rFonts w:hint="eastAsia" w:ascii="楷体" w:hAnsi="楷体" w:eastAsia="楷体" w:cs="楷体"/>
                <w:spacing w:val="-10"/>
                <w:szCs w:val="21"/>
                <w:lang w:val="en-US" w:eastAsia="zh-CN"/>
              </w:rPr>
              <w:t>24</w:t>
            </w:r>
            <w:r>
              <w:rPr>
                <w:rFonts w:hint="eastAsia" w:ascii="楷体" w:hAnsi="楷体" w:eastAsia="楷体" w:cs="楷体"/>
                <w:spacing w:val="-10"/>
                <w:szCs w:val="21"/>
              </w:rPr>
              <w:t>年所得税费用=</w:t>
            </w:r>
            <w:r>
              <w:rPr>
                <w:rFonts w:hint="eastAsia" w:ascii="楷体" w:hAnsi="楷体" w:eastAsia="楷体" w:cs="楷体"/>
                <w:spacing w:val="-10"/>
                <w:szCs w:val="21"/>
                <w:lang w:val="en-US" w:eastAsia="zh-CN"/>
              </w:rPr>
              <w:t>580</w:t>
            </w:r>
            <w:r>
              <w:rPr>
                <w:rFonts w:hint="eastAsia" w:ascii="楷体" w:hAnsi="楷体" w:eastAsia="楷体" w:cs="楷体"/>
                <w:spacing w:val="-10"/>
                <w:szCs w:val="21"/>
              </w:rPr>
              <w:t>-</w:t>
            </w:r>
            <w:r>
              <w:rPr>
                <w:rFonts w:hint="eastAsia" w:ascii="楷体" w:hAnsi="楷体" w:eastAsia="楷体" w:cs="楷体"/>
                <w:spacing w:val="-10"/>
                <w:szCs w:val="21"/>
                <w:lang w:val="en-US" w:eastAsia="zh-CN"/>
              </w:rPr>
              <w:t>45</w:t>
            </w:r>
            <w:r>
              <w:rPr>
                <w:rFonts w:hint="eastAsia" w:ascii="楷体" w:hAnsi="楷体" w:eastAsia="楷体" w:cs="楷体"/>
                <w:spacing w:val="-10"/>
                <w:szCs w:val="21"/>
              </w:rPr>
              <w:t>+</w:t>
            </w:r>
            <w:r>
              <w:rPr>
                <w:rFonts w:hint="eastAsia" w:ascii="楷体" w:hAnsi="楷体" w:eastAsia="楷体" w:cs="楷体"/>
                <w:spacing w:val="-10"/>
                <w:szCs w:val="21"/>
                <w:lang w:val="en-US" w:eastAsia="zh-CN"/>
              </w:rPr>
              <w:t>30</w:t>
            </w:r>
            <w:r>
              <w:rPr>
                <w:rFonts w:hint="eastAsia" w:ascii="楷体" w:hAnsi="楷体" w:eastAsia="楷体" w:cs="楷体"/>
                <w:spacing w:val="-10"/>
                <w:szCs w:val="21"/>
              </w:rPr>
              <w:t>=</w:t>
            </w:r>
            <w:r>
              <w:rPr>
                <w:rFonts w:hint="eastAsia" w:ascii="楷体" w:hAnsi="楷体" w:eastAsia="楷体" w:cs="楷体"/>
                <w:spacing w:val="-10"/>
                <w:szCs w:val="21"/>
                <w:lang w:val="en-US" w:eastAsia="zh-CN"/>
              </w:rPr>
              <w:t>565</w:t>
            </w:r>
            <w:r>
              <w:rPr>
                <w:rFonts w:hint="eastAsia" w:ascii="楷体" w:hAnsi="楷体" w:eastAsia="楷体" w:cs="楷体"/>
                <w:spacing w:val="-10"/>
                <w:szCs w:val="21"/>
              </w:rPr>
              <w:t>(万元)</w:t>
            </w:r>
          </w:p>
          <w:p w14:paraId="65DED338">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(5)2</w:t>
            </w:r>
            <w:r>
              <w:rPr>
                <w:rFonts w:hint="default" w:ascii="Arial" w:hAnsi="Arial" w:eastAsia="楷体" w:cs="Arial"/>
                <w:spacing w:val="-10"/>
                <w:szCs w:val="21"/>
              </w:rPr>
              <w:t>×</w:t>
            </w:r>
            <w:r>
              <w:rPr>
                <w:rFonts w:hint="eastAsia" w:ascii="楷体" w:hAnsi="楷体" w:eastAsia="楷体" w:cs="楷体"/>
                <w:spacing w:val="-10"/>
                <w:szCs w:val="21"/>
                <w:lang w:val="en-US" w:eastAsia="zh-CN"/>
              </w:rPr>
              <w:t>24</w:t>
            </w:r>
            <w:r>
              <w:rPr>
                <w:rFonts w:hint="eastAsia" w:ascii="楷体" w:hAnsi="楷体" w:eastAsia="楷体" w:cs="楷体"/>
                <w:spacing w:val="-10"/>
                <w:szCs w:val="21"/>
              </w:rPr>
              <w:t>年企业所得税的账务处理如下：</w:t>
            </w:r>
          </w:p>
          <w:p w14:paraId="34549D47">
            <w:pPr>
              <w:ind w:firstLine="380" w:firstLineChars="200"/>
              <w:jc w:val="left"/>
              <w:rPr>
                <w:rFonts w:ascii="楷体" w:hAnsi="楷体" w:eastAsia="楷体" w:cs="楷体"/>
                <w:spacing w:val="-10"/>
                <w:szCs w:val="21"/>
              </w:rPr>
            </w:pPr>
            <w:r>
              <w:rPr>
                <w:rFonts w:hint="eastAsia" w:ascii="楷体" w:hAnsi="楷体" w:eastAsia="楷体" w:cs="楷体"/>
                <w:spacing w:val="-10"/>
                <w:szCs w:val="21"/>
              </w:rPr>
              <w:t>借：递延所得税资产</w:t>
            </w:r>
            <w:r>
              <w:rPr>
                <w:rFonts w:hint="eastAsia" w:ascii="楷体" w:hAnsi="楷体" w:eastAsia="楷体" w:cs="楷体"/>
                <w:spacing w:val="-10"/>
                <w:szCs w:val="21"/>
                <w:lang w:val="en-US" w:eastAsia="zh-CN"/>
              </w:rPr>
              <w:t xml:space="preserve">           450 </w:t>
            </w:r>
            <w:r>
              <w:rPr>
                <w:rFonts w:hint="eastAsia" w:ascii="楷体" w:hAnsi="楷体" w:eastAsia="楷体" w:cs="楷体"/>
                <w:spacing w:val="-10"/>
                <w:szCs w:val="21"/>
              </w:rPr>
              <w:t>000</w:t>
            </w:r>
          </w:p>
          <w:p w14:paraId="1A2149C4">
            <w:pPr>
              <w:ind w:firstLine="760" w:firstLineChars="400"/>
              <w:jc w:val="left"/>
              <w:rPr>
                <w:rFonts w:ascii="楷体" w:hAnsi="楷体" w:eastAsia="楷体" w:cs="楷体"/>
                <w:spacing w:val="-10"/>
                <w:szCs w:val="21"/>
              </w:rPr>
            </w:pPr>
            <w:r>
              <w:rPr>
                <w:rFonts w:hint="eastAsia" w:ascii="楷体" w:hAnsi="楷体" w:eastAsia="楷体" w:cs="楷体"/>
                <w:spacing w:val="-10"/>
                <w:szCs w:val="21"/>
              </w:rPr>
              <w:t>所得税费用</w:t>
            </w:r>
            <w:r>
              <w:rPr>
                <w:rFonts w:hint="eastAsia" w:ascii="楷体" w:hAnsi="楷体" w:eastAsia="楷体" w:cs="楷体"/>
                <w:spacing w:val="-10"/>
                <w:szCs w:val="21"/>
                <w:lang w:val="en-US" w:eastAsia="zh-CN"/>
              </w:rPr>
              <w:t xml:space="preserve">             5 650 </w:t>
            </w:r>
            <w:r>
              <w:rPr>
                <w:rFonts w:hint="eastAsia" w:ascii="楷体" w:hAnsi="楷体" w:eastAsia="楷体" w:cs="楷体"/>
                <w:spacing w:val="-10"/>
                <w:szCs w:val="21"/>
              </w:rPr>
              <w:t>000</w:t>
            </w:r>
          </w:p>
          <w:p w14:paraId="50848F3E">
            <w:pPr>
              <w:ind w:firstLine="570" w:firstLineChars="300"/>
              <w:jc w:val="left"/>
              <w:rPr>
                <w:rFonts w:ascii="楷体" w:hAnsi="楷体" w:eastAsia="楷体" w:cs="楷体"/>
                <w:spacing w:val="-10"/>
                <w:szCs w:val="21"/>
              </w:rPr>
            </w:pPr>
            <w:r>
              <w:rPr>
                <w:rFonts w:hint="eastAsia" w:ascii="楷体" w:hAnsi="楷体" w:eastAsia="楷体" w:cs="楷体"/>
                <w:spacing w:val="-10"/>
                <w:szCs w:val="21"/>
              </w:rPr>
              <w:t>贷：应交税费——应交所得税</w:t>
            </w:r>
            <w:r>
              <w:rPr>
                <w:rFonts w:hint="eastAsia" w:ascii="楷体" w:hAnsi="楷体" w:eastAsia="楷体" w:cs="楷体"/>
                <w:spacing w:val="-10"/>
                <w:szCs w:val="21"/>
                <w:lang w:val="en-US" w:eastAsia="zh-CN"/>
              </w:rPr>
              <w:t xml:space="preserve">  5 8</w:t>
            </w:r>
            <w:r>
              <w:rPr>
                <w:rFonts w:hint="eastAsia" w:ascii="楷体" w:hAnsi="楷体" w:eastAsia="楷体" w:cs="楷体"/>
                <w:spacing w:val="-10"/>
                <w:szCs w:val="21"/>
              </w:rPr>
              <w:t>00</w:t>
            </w:r>
            <w:r>
              <w:rPr>
                <w:rFonts w:hint="eastAsia" w:ascii="楷体" w:hAnsi="楷体" w:eastAsia="楷体" w:cs="楷体"/>
                <w:spacing w:val="-10"/>
                <w:szCs w:val="21"/>
                <w:lang w:val="en-US" w:eastAsia="zh-CN"/>
              </w:rPr>
              <w:t xml:space="preserve"> </w:t>
            </w:r>
            <w:r>
              <w:rPr>
                <w:rFonts w:hint="eastAsia" w:ascii="楷体" w:hAnsi="楷体" w:eastAsia="楷体" w:cs="楷体"/>
                <w:spacing w:val="-10"/>
                <w:szCs w:val="21"/>
              </w:rPr>
              <w:t>000</w:t>
            </w:r>
          </w:p>
          <w:p w14:paraId="2729AFA7">
            <w:pPr>
              <w:ind w:firstLine="950" w:firstLineChars="500"/>
              <w:jc w:val="left"/>
              <w:rPr>
                <w:rFonts w:hint="eastAsia" w:ascii="楷体" w:hAnsi="楷体" w:eastAsia="楷体" w:cs="楷体"/>
                <w:spacing w:val="-10"/>
                <w:szCs w:val="21"/>
              </w:rPr>
            </w:pPr>
            <w:r>
              <w:rPr>
                <w:rFonts w:hint="eastAsia" w:ascii="楷体" w:hAnsi="楷体" w:eastAsia="楷体" w:cs="楷体"/>
                <w:spacing w:val="-10"/>
                <w:szCs w:val="21"/>
              </w:rPr>
              <w:t>递延所得税负债</w:t>
            </w:r>
            <w:r>
              <w:rPr>
                <w:rFonts w:hint="eastAsia" w:ascii="楷体" w:hAnsi="楷体" w:eastAsia="楷体" w:cs="楷体"/>
                <w:spacing w:val="-10"/>
                <w:szCs w:val="21"/>
                <w:lang w:val="en-US" w:eastAsia="zh-CN"/>
              </w:rPr>
              <w:t xml:space="preserve">             30</w:t>
            </w:r>
            <w:r>
              <w:rPr>
                <w:rFonts w:hint="eastAsia" w:ascii="楷体" w:hAnsi="楷体" w:eastAsia="楷体" w:cs="楷体"/>
                <w:spacing w:val="-10"/>
                <w:szCs w:val="21"/>
              </w:rPr>
              <w:t>0</w:t>
            </w:r>
            <w:r>
              <w:rPr>
                <w:rFonts w:hint="eastAsia" w:ascii="楷体" w:hAnsi="楷体" w:eastAsia="楷体" w:cs="楷体"/>
                <w:spacing w:val="-10"/>
                <w:szCs w:val="21"/>
                <w:lang w:val="en-US" w:eastAsia="zh-CN"/>
              </w:rPr>
              <w:t xml:space="preserve"> </w:t>
            </w:r>
            <w:r>
              <w:rPr>
                <w:rFonts w:hint="eastAsia" w:ascii="楷体" w:hAnsi="楷体" w:eastAsia="楷体" w:cs="楷体"/>
                <w:spacing w:val="-10"/>
                <w:szCs w:val="21"/>
              </w:rPr>
              <w:t>000</w:t>
            </w:r>
          </w:p>
          <w:p w14:paraId="445C9470">
            <w:pPr>
              <w:jc w:val="left"/>
              <w:rPr>
                <w:rFonts w:hint="eastAsia" w:ascii="宋体" w:hAnsi="宋体" w:cs="宋体"/>
                <w:b/>
                <w:bCs/>
                <w:spacing w:val="-10"/>
                <w:szCs w:val="21"/>
              </w:rPr>
            </w:pPr>
            <w:r>
              <w:rPr>
                <w:rFonts w:hint="eastAsia" w:ascii="宋体" w:hAnsi="宋体" w:cs="宋体"/>
                <w:b/>
                <w:bCs/>
                <w:spacing w:val="-10"/>
                <w:szCs w:val="21"/>
              </w:rPr>
              <w:t>【</w:t>
            </w:r>
            <w:r>
              <w:rPr>
                <w:rFonts w:hint="eastAsia" w:ascii="宋体" w:hAnsi="宋体" w:cs="宋体"/>
                <w:b/>
                <w:bCs/>
                <w:spacing w:val="-10"/>
                <w:szCs w:val="21"/>
                <w:lang w:val="en-US" w:eastAsia="zh-CN"/>
              </w:rPr>
              <w:t>学中做</w:t>
            </w:r>
            <w:r>
              <w:rPr>
                <w:rFonts w:hint="eastAsia" w:ascii="宋体" w:hAnsi="宋体" w:cs="宋体"/>
                <w:b/>
                <w:bCs/>
                <w:spacing w:val="-10"/>
                <w:szCs w:val="21"/>
              </w:rPr>
              <w:t>1</w:t>
            </w:r>
            <w:r>
              <w:rPr>
                <w:rFonts w:hint="eastAsia" w:ascii="宋体" w:hAnsi="宋体" w:cs="宋体"/>
                <w:b/>
                <w:bCs/>
                <w:spacing w:val="-10"/>
                <w:szCs w:val="21"/>
                <w:lang w:val="en-US" w:eastAsia="zh-CN"/>
              </w:rPr>
              <w:t>1</w:t>
            </w:r>
            <w:r>
              <w:rPr>
                <w:rFonts w:hint="eastAsia" w:ascii="宋体" w:hAnsi="宋体" w:cs="宋体"/>
                <w:b/>
                <w:bCs/>
                <w:spacing w:val="-10"/>
                <w:szCs w:val="21"/>
              </w:rPr>
              <w:t>-</w:t>
            </w:r>
            <w:r>
              <w:rPr>
                <w:rFonts w:hint="eastAsia" w:ascii="宋体" w:hAnsi="宋体" w:cs="宋体"/>
                <w:b/>
                <w:bCs/>
                <w:spacing w:val="-10"/>
                <w:szCs w:val="21"/>
                <w:lang w:val="en-US" w:eastAsia="zh-CN"/>
              </w:rPr>
              <w:t>3</w:t>
            </w:r>
            <w:r>
              <w:rPr>
                <w:rFonts w:hint="eastAsia" w:ascii="宋体" w:hAnsi="宋体" w:cs="宋体"/>
                <w:b/>
                <w:bCs/>
                <w:spacing w:val="-10"/>
                <w:szCs w:val="21"/>
              </w:rPr>
              <w:t>】</w:t>
            </w:r>
          </w:p>
          <w:p w14:paraId="41723477">
            <w:p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丁公司2×23年度利润表中利润总额为2400万元，该公司适用的所得税税率为25%。递延所得税资产及递延所得税负债不存在期初余额。与所得税核算有关的情况如下：</w:t>
            </w:r>
          </w:p>
          <w:p w14:paraId="018C3542">
            <w:p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2×23年发生的有关交易和事项中，会计处理与税收处理存在差别的有：</w:t>
            </w:r>
          </w:p>
          <w:p w14:paraId="036C15A4">
            <w:p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(1)2×23年1月开始计提折旧的一项固定资产，成本为1200万元，使用年限为10年，净残值为0，会计处理按双倍余额递减法计提折旧，税收处理按直线法计提折旧。假定税法规定的使用年限及净残值与会计规定相同。</w:t>
            </w:r>
          </w:p>
          <w:p w14:paraId="7C2F6FE6">
            <w:p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(2)向关联企业捐赠现金400万元。假定按照税法规定，企业向关联方的捐赠不允许税前扣除。</w:t>
            </w:r>
          </w:p>
          <w:p w14:paraId="49C5936A">
            <w:p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(3)期末持有的交易性金融资产成本为600万元，公允价值为1200万元。税法规定，以公允价值计量的金融资产持有期间市价变动不计入应纳税所得额。</w:t>
            </w:r>
          </w:p>
          <w:p w14:paraId="5E9145C9">
            <w:p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(4)违反环保规定应支付罚款200万元。</w:t>
            </w:r>
          </w:p>
          <w:p w14:paraId="22936E0D">
            <w:p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(5)期末对持有的存货计提了60万元的存货跌价准备。</w:t>
            </w:r>
          </w:p>
          <w:p w14:paraId="3B7B73AA">
            <w:p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要求：</w:t>
            </w:r>
          </w:p>
          <w:p w14:paraId="29BA8E94">
            <w:p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（1）计算2×23年度应交所得税；</w:t>
            </w:r>
          </w:p>
          <w:p w14:paraId="28AAF089">
            <w:p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（2）计算2×23年度递延所得税；</w:t>
            </w:r>
          </w:p>
          <w:p w14:paraId="06DB7D08">
            <w:p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（3）计算利润表中应确认的所得税费用，并编制会计分录。</w:t>
            </w:r>
          </w:p>
          <w:p w14:paraId="34C36FC8">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ascii="宋体" w:hAnsi="宋体"/>
                <w:szCs w:val="21"/>
              </w:rPr>
            </w:pPr>
            <w:bookmarkStart w:id="15" w:name="_GoBack"/>
            <w:bookmarkEnd w:id="15"/>
          </w:p>
        </w:tc>
      </w:tr>
      <w:tr w14:paraId="7C737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1206" w:type="dxa"/>
            <w:vAlign w:val="center"/>
          </w:tcPr>
          <w:p w14:paraId="4C84E115">
            <w:pPr>
              <w:jc w:val="center"/>
              <w:rPr>
                <w:rFonts w:hint="eastAsia" w:ascii="宋体" w:hAnsi="宋体"/>
                <w:sz w:val="18"/>
                <w:szCs w:val="18"/>
              </w:rPr>
            </w:pPr>
            <w:r>
              <w:rPr>
                <w:rFonts w:hint="eastAsia" w:ascii="宋体" w:hAnsi="宋体"/>
                <w:b/>
                <w:sz w:val="24"/>
              </w:rPr>
              <w:t>教辅活动</w:t>
            </w:r>
          </w:p>
        </w:tc>
        <w:tc>
          <w:tcPr>
            <w:tcW w:w="7769" w:type="dxa"/>
            <w:gridSpan w:val="3"/>
            <w:vAlign w:val="center"/>
          </w:tcPr>
          <w:p w14:paraId="2FE30DE9">
            <w:pPr>
              <w:adjustRightInd w:val="0"/>
              <w:snapToGrid w:val="0"/>
              <w:rPr>
                <w:rFonts w:hint="eastAsia" w:ascii="宋体" w:hAnsi="宋体"/>
                <w:color w:val="FF0000"/>
                <w:szCs w:val="21"/>
              </w:rPr>
            </w:pPr>
            <w:r>
              <w:rPr>
                <w:rFonts w:hint="eastAsia" w:ascii="宋体" w:hAnsi="宋体"/>
                <w:szCs w:val="21"/>
              </w:rPr>
              <w:t>布置作业：</w:t>
            </w:r>
            <w:r>
              <w:rPr>
                <w:rFonts w:hint="eastAsia" w:ascii="宋体" w:hAnsi="宋体"/>
                <w:color w:val="FF0000"/>
                <w:szCs w:val="21"/>
              </w:rPr>
              <w:t xml:space="preserve"> </w:t>
            </w:r>
          </w:p>
        </w:tc>
      </w:tr>
      <w:tr w14:paraId="64322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1206" w:type="dxa"/>
            <w:vAlign w:val="center"/>
          </w:tcPr>
          <w:p w14:paraId="1BDEFE08">
            <w:pPr>
              <w:jc w:val="center"/>
              <w:rPr>
                <w:rFonts w:hint="eastAsia" w:ascii="宋体" w:hAnsi="宋体"/>
                <w:sz w:val="18"/>
                <w:szCs w:val="18"/>
              </w:rPr>
            </w:pPr>
            <w:r>
              <w:rPr>
                <w:rFonts w:hint="eastAsia" w:ascii="宋体" w:hAnsi="宋体"/>
                <w:b/>
                <w:sz w:val="24"/>
              </w:rPr>
              <w:t>教学反思</w:t>
            </w:r>
          </w:p>
        </w:tc>
        <w:tc>
          <w:tcPr>
            <w:tcW w:w="7769" w:type="dxa"/>
            <w:gridSpan w:val="3"/>
            <w:vAlign w:val="center"/>
          </w:tcPr>
          <w:p w14:paraId="6ADB6300">
            <w:pPr>
              <w:adjustRightInd w:val="0"/>
              <w:snapToGrid w:val="0"/>
              <w:rPr>
                <w:rFonts w:hint="eastAsia" w:ascii="宋体" w:hAnsi="宋体"/>
                <w:szCs w:val="21"/>
              </w:rPr>
            </w:pPr>
          </w:p>
        </w:tc>
      </w:tr>
    </w:tbl>
    <w:p w14:paraId="1D060B0A">
      <w:pPr>
        <w:rPr>
          <w:rFonts w:hint="eastAsia" w:ascii="华文中宋" w:hAnsi="华文中宋" w:eastAsia="华文中宋"/>
          <w:b/>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å¾®è½¯é›…é»‘">
    <w:altName w:val="Segoe Print"/>
    <w:panose1 w:val="00000000000000000000"/>
    <w:charset w:val="00"/>
    <w:family w:val="auto"/>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A6B274"/>
    <w:multiLevelType w:val="singleLevel"/>
    <w:tmpl w:val="BBA6B274"/>
    <w:lvl w:ilvl="0" w:tentative="0">
      <w:start w:val="1"/>
      <w:numFmt w:val="decimal"/>
      <w:suff w:val="space"/>
      <w:lvlText w:val="%1."/>
      <w:lvlJc w:val="left"/>
      <w:pPr>
        <w:ind w:left="-210"/>
      </w:pPr>
    </w:lvl>
  </w:abstractNum>
  <w:abstractNum w:abstractNumId="1">
    <w:nsid w:val="D6C82C87"/>
    <w:multiLevelType w:val="singleLevel"/>
    <w:tmpl w:val="D6C82C87"/>
    <w:lvl w:ilvl="0" w:tentative="0">
      <w:start w:val="1"/>
      <w:numFmt w:val="chineseCounting"/>
      <w:suff w:val="nothing"/>
      <w:lvlText w:val="（%1）"/>
      <w:lvlJc w:val="left"/>
      <w:rPr>
        <w:rFonts w:hint="eastAsia"/>
      </w:rPr>
    </w:lvl>
  </w:abstractNum>
  <w:abstractNum w:abstractNumId="2">
    <w:nsid w:val="473919A4"/>
    <w:multiLevelType w:val="singleLevel"/>
    <w:tmpl w:val="473919A4"/>
    <w:lvl w:ilvl="0" w:tentative="0">
      <w:start w:val="1"/>
      <w:numFmt w:val="chineseCounting"/>
      <w:suff w:val="nothing"/>
      <w:lvlText w:val="%1、"/>
      <w:lvlJc w:val="left"/>
      <w:pPr>
        <w:ind w:left="-21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JkZTljMjk1MWQwYTFjZTg1YTg0NWNlZTI1NWZmNjgifQ=="/>
  </w:docVars>
  <w:rsids>
    <w:rsidRoot w:val="00685F31"/>
    <w:rsid w:val="00015665"/>
    <w:rsid w:val="000A5792"/>
    <w:rsid w:val="000C73EC"/>
    <w:rsid w:val="00170D2E"/>
    <w:rsid w:val="00177065"/>
    <w:rsid w:val="001C7AF4"/>
    <w:rsid w:val="001F27C3"/>
    <w:rsid w:val="00244656"/>
    <w:rsid w:val="00245AF1"/>
    <w:rsid w:val="002966FF"/>
    <w:rsid w:val="002C31D8"/>
    <w:rsid w:val="002E40DC"/>
    <w:rsid w:val="002E76BC"/>
    <w:rsid w:val="00320625"/>
    <w:rsid w:val="003956BE"/>
    <w:rsid w:val="003C6021"/>
    <w:rsid w:val="00521162"/>
    <w:rsid w:val="00564D94"/>
    <w:rsid w:val="00570C41"/>
    <w:rsid w:val="005E14CB"/>
    <w:rsid w:val="005F5B2B"/>
    <w:rsid w:val="005F6267"/>
    <w:rsid w:val="00610597"/>
    <w:rsid w:val="00685F31"/>
    <w:rsid w:val="006D599C"/>
    <w:rsid w:val="007F3722"/>
    <w:rsid w:val="0086509F"/>
    <w:rsid w:val="00955914"/>
    <w:rsid w:val="00985CCB"/>
    <w:rsid w:val="00A42E27"/>
    <w:rsid w:val="00A45E18"/>
    <w:rsid w:val="00A63987"/>
    <w:rsid w:val="00AE6867"/>
    <w:rsid w:val="00B0146A"/>
    <w:rsid w:val="00B41B07"/>
    <w:rsid w:val="00B6159A"/>
    <w:rsid w:val="00BB6252"/>
    <w:rsid w:val="00BF12C2"/>
    <w:rsid w:val="00C20A9E"/>
    <w:rsid w:val="00C80C46"/>
    <w:rsid w:val="00CC3BFF"/>
    <w:rsid w:val="00DA34EB"/>
    <w:rsid w:val="00DD7D10"/>
    <w:rsid w:val="00E0366E"/>
    <w:rsid w:val="00EA584D"/>
    <w:rsid w:val="00F47329"/>
    <w:rsid w:val="00F82F13"/>
    <w:rsid w:val="00FD4598"/>
    <w:rsid w:val="012D66CB"/>
    <w:rsid w:val="01B6046E"/>
    <w:rsid w:val="04E92909"/>
    <w:rsid w:val="05EC7AE6"/>
    <w:rsid w:val="06896151"/>
    <w:rsid w:val="073C62EA"/>
    <w:rsid w:val="0A1B5312"/>
    <w:rsid w:val="0A5F5B47"/>
    <w:rsid w:val="0BFF1FB6"/>
    <w:rsid w:val="0D441024"/>
    <w:rsid w:val="0DB53CD0"/>
    <w:rsid w:val="0EA001D7"/>
    <w:rsid w:val="0F046DE3"/>
    <w:rsid w:val="0F786D63"/>
    <w:rsid w:val="102173FB"/>
    <w:rsid w:val="10303AE2"/>
    <w:rsid w:val="10DB2F44"/>
    <w:rsid w:val="120A3A65"/>
    <w:rsid w:val="13051255"/>
    <w:rsid w:val="13415744"/>
    <w:rsid w:val="13675A6C"/>
    <w:rsid w:val="137D5290"/>
    <w:rsid w:val="138403CC"/>
    <w:rsid w:val="139E7597"/>
    <w:rsid w:val="14154B03"/>
    <w:rsid w:val="17E92EF4"/>
    <w:rsid w:val="194F322A"/>
    <w:rsid w:val="1AC51B46"/>
    <w:rsid w:val="1BB76E65"/>
    <w:rsid w:val="1C735482"/>
    <w:rsid w:val="1C7836C8"/>
    <w:rsid w:val="1D721295"/>
    <w:rsid w:val="1E450758"/>
    <w:rsid w:val="1E8A260F"/>
    <w:rsid w:val="1E98783E"/>
    <w:rsid w:val="1EBD4792"/>
    <w:rsid w:val="1F025E13"/>
    <w:rsid w:val="1FA97A87"/>
    <w:rsid w:val="202D5948"/>
    <w:rsid w:val="20CF5525"/>
    <w:rsid w:val="20DF4E94"/>
    <w:rsid w:val="227D2BB6"/>
    <w:rsid w:val="22F17100"/>
    <w:rsid w:val="259A3A7F"/>
    <w:rsid w:val="26D66FB8"/>
    <w:rsid w:val="26EE03A0"/>
    <w:rsid w:val="27DF5779"/>
    <w:rsid w:val="2A0D1C4E"/>
    <w:rsid w:val="2A9A62D0"/>
    <w:rsid w:val="2C0C0B07"/>
    <w:rsid w:val="2C7A0167"/>
    <w:rsid w:val="2CF717B7"/>
    <w:rsid w:val="2D40322A"/>
    <w:rsid w:val="2DD554A0"/>
    <w:rsid w:val="2E5D564A"/>
    <w:rsid w:val="3140197F"/>
    <w:rsid w:val="31AD0696"/>
    <w:rsid w:val="31AF4179"/>
    <w:rsid w:val="35AB313F"/>
    <w:rsid w:val="35E519EE"/>
    <w:rsid w:val="365D6B2F"/>
    <w:rsid w:val="36C22E36"/>
    <w:rsid w:val="378C1B36"/>
    <w:rsid w:val="37BB0BF5"/>
    <w:rsid w:val="38431D54"/>
    <w:rsid w:val="38D96215"/>
    <w:rsid w:val="39787AD8"/>
    <w:rsid w:val="3A9D3821"/>
    <w:rsid w:val="3C176F98"/>
    <w:rsid w:val="3DF933E6"/>
    <w:rsid w:val="3F221819"/>
    <w:rsid w:val="3F6902F3"/>
    <w:rsid w:val="3FA806EF"/>
    <w:rsid w:val="3FB10326"/>
    <w:rsid w:val="40766AD4"/>
    <w:rsid w:val="411029F0"/>
    <w:rsid w:val="41512CC7"/>
    <w:rsid w:val="416008D2"/>
    <w:rsid w:val="426C3C56"/>
    <w:rsid w:val="429531AD"/>
    <w:rsid w:val="43DB1093"/>
    <w:rsid w:val="43FB091D"/>
    <w:rsid w:val="448B4867"/>
    <w:rsid w:val="45F66658"/>
    <w:rsid w:val="47EB386F"/>
    <w:rsid w:val="48877A3B"/>
    <w:rsid w:val="48CB3DCC"/>
    <w:rsid w:val="499C7517"/>
    <w:rsid w:val="4B105AC6"/>
    <w:rsid w:val="4BBE4FED"/>
    <w:rsid w:val="4EF94AC3"/>
    <w:rsid w:val="4FDB7B8B"/>
    <w:rsid w:val="5006393C"/>
    <w:rsid w:val="51894824"/>
    <w:rsid w:val="51934146"/>
    <w:rsid w:val="522E2A1E"/>
    <w:rsid w:val="52F21F55"/>
    <w:rsid w:val="549069EA"/>
    <w:rsid w:val="552703F2"/>
    <w:rsid w:val="56B45E9F"/>
    <w:rsid w:val="57032983"/>
    <w:rsid w:val="57527466"/>
    <w:rsid w:val="58242BB1"/>
    <w:rsid w:val="58D72319"/>
    <w:rsid w:val="58F76517"/>
    <w:rsid w:val="5B6A3B5C"/>
    <w:rsid w:val="5CF3349A"/>
    <w:rsid w:val="60806E07"/>
    <w:rsid w:val="60E03D35"/>
    <w:rsid w:val="610B0DB2"/>
    <w:rsid w:val="619F118C"/>
    <w:rsid w:val="62CA25A7"/>
    <w:rsid w:val="63E1404C"/>
    <w:rsid w:val="647B624F"/>
    <w:rsid w:val="649D4417"/>
    <w:rsid w:val="66263661"/>
    <w:rsid w:val="674C7491"/>
    <w:rsid w:val="67FF17A8"/>
    <w:rsid w:val="686F0A27"/>
    <w:rsid w:val="689F0032"/>
    <w:rsid w:val="699F29DF"/>
    <w:rsid w:val="69C15128"/>
    <w:rsid w:val="6AC14EEE"/>
    <w:rsid w:val="6B855C05"/>
    <w:rsid w:val="6C5D26DE"/>
    <w:rsid w:val="6CCB629F"/>
    <w:rsid w:val="6CF50015"/>
    <w:rsid w:val="6D154034"/>
    <w:rsid w:val="6FDF5634"/>
    <w:rsid w:val="71755DD4"/>
    <w:rsid w:val="71A32941"/>
    <w:rsid w:val="72EF722A"/>
    <w:rsid w:val="73893DB8"/>
    <w:rsid w:val="738D5656"/>
    <w:rsid w:val="75753202"/>
    <w:rsid w:val="76A61941"/>
    <w:rsid w:val="771F0A13"/>
    <w:rsid w:val="78A7540C"/>
    <w:rsid w:val="78B00425"/>
    <w:rsid w:val="790C34C1"/>
    <w:rsid w:val="7A684727"/>
    <w:rsid w:val="7A8E473B"/>
    <w:rsid w:val="7C36570A"/>
    <w:rsid w:val="7CCD2F68"/>
    <w:rsid w:val="7D1868D9"/>
    <w:rsid w:val="7D6C09D3"/>
    <w:rsid w:val="7DF2712A"/>
    <w:rsid w:val="7E5C27F5"/>
    <w:rsid w:val="7F820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nhideWhenUsed="0" w:uiPriority="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
    <w:semiHidden/>
    <w:unhideWhenUsed/>
    <w:qFormat/>
    <w:uiPriority w:val="99"/>
    <w:pPr>
      <w:spacing w:after="120"/>
    </w:pPr>
  </w:style>
  <w:style w:type="paragraph" w:styleId="3">
    <w:name w:val="Body Text Indent"/>
    <w:basedOn w:val="1"/>
    <w:link w:val="13"/>
    <w:qFormat/>
    <w:uiPriority w:val="0"/>
    <w:pPr>
      <w:spacing w:line="200" w:lineRule="exact"/>
      <w:ind w:left="420"/>
    </w:pPr>
    <w:rPr>
      <w:rFonts w:ascii="宋体" w:hAnsi="宋体"/>
      <w:sz w:val="18"/>
    </w:rPr>
  </w:style>
  <w:style w:type="paragraph" w:styleId="4">
    <w:name w:val="toc 3"/>
    <w:basedOn w:val="1"/>
    <w:next w:val="1"/>
    <w:semiHidden/>
    <w:qFormat/>
    <w:uiPriority w:val="0"/>
    <w:pPr>
      <w:tabs>
        <w:tab w:val="right" w:leader="dot" w:pos="8155"/>
      </w:tabs>
      <w:spacing w:line="300" w:lineRule="auto"/>
    </w:pPr>
    <w:rPr>
      <w:rFonts w:ascii="宋体" w:hAnsi="宋体"/>
      <w:szCs w:val="21"/>
    </w:rPr>
  </w:style>
  <w:style w:type="paragraph" w:styleId="5">
    <w:name w:val="footer"/>
    <w:basedOn w:val="1"/>
    <w:link w:val="12"/>
    <w:semiHidden/>
    <w:unhideWhenUsed/>
    <w:qFormat/>
    <w:uiPriority w:val="99"/>
    <w:pPr>
      <w:tabs>
        <w:tab w:val="center" w:pos="4153"/>
        <w:tab w:val="right" w:pos="8306"/>
      </w:tabs>
      <w:snapToGrid w:val="0"/>
      <w:jc w:val="left"/>
    </w:pPr>
    <w:rPr>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6"/>
    <w:semiHidden/>
    <w:qFormat/>
    <w:uiPriority w:val="99"/>
    <w:rPr>
      <w:sz w:val="18"/>
      <w:szCs w:val="18"/>
    </w:rPr>
  </w:style>
  <w:style w:type="character" w:customStyle="1" w:styleId="12">
    <w:name w:val="页脚 字符"/>
    <w:basedOn w:val="10"/>
    <w:link w:val="5"/>
    <w:semiHidden/>
    <w:qFormat/>
    <w:uiPriority w:val="99"/>
    <w:rPr>
      <w:sz w:val="18"/>
      <w:szCs w:val="18"/>
    </w:rPr>
  </w:style>
  <w:style w:type="character" w:customStyle="1" w:styleId="13">
    <w:name w:val="正文文本缩进 字符"/>
    <w:basedOn w:val="10"/>
    <w:link w:val="3"/>
    <w:qFormat/>
    <w:uiPriority w:val="0"/>
    <w:rPr>
      <w:rFonts w:ascii="宋体" w:hAnsi="宋体" w:eastAsia="宋体" w:cs="Times New Roman"/>
      <w:sz w:val="18"/>
      <w:szCs w:val="24"/>
    </w:rPr>
  </w:style>
  <w:style w:type="paragraph" w:styleId="14">
    <w:name w:val="List Paragraph"/>
    <w:basedOn w:val="1"/>
    <w:unhideWhenUsed/>
    <w:qFormat/>
    <w:uiPriority w:val="99"/>
    <w:pPr>
      <w:ind w:firstLine="420" w:firstLineChars="200"/>
    </w:pPr>
  </w:style>
  <w:style w:type="character" w:customStyle="1" w:styleId="15">
    <w:name w:val="正文文本 字符"/>
    <w:basedOn w:val="10"/>
    <w:link w:val="2"/>
    <w:semiHidden/>
    <w:qFormat/>
    <w:uiPriority w:val="99"/>
    <w:rPr>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2246</Words>
  <Characters>12803</Characters>
  <Lines>106</Lines>
  <Paragraphs>30</Paragraphs>
  <TotalTime>0</TotalTime>
  <ScaleCrop>false</ScaleCrop>
  <LinksUpToDate>false</LinksUpToDate>
  <CharactersWithSpaces>15019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2024-11-17T12:04:00Z</dcterms:created>
  <dc:creator>zkl</dc:creator>
  <cp:lastModifiedBy>111</cp:lastModifiedBy>
  <cp:lastPrinted>2023-04-27T00:25:00Z</cp:lastPrinted>
  <dcterms:modified xsi:type="dcterms:W3CDTF">2024-11-19T06:39:37Z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4AFCDF3F3C7444D2BDD50F7B4AFC99B7_13</vt:lpwstr>
  </property>
</Properties>
</file>