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C6848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sz w:val="28"/>
          <w:szCs w:val="28"/>
        </w:rPr>
      </w:pPr>
      <w:r>
        <w:rPr>
          <w:rFonts w:hint="eastAsia" w:ascii="黑体" w:hAnsi="黑体" w:eastAsia="黑体" w:cs="黑体"/>
          <w:b w:val="0"/>
          <w:bCs/>
          <w:sz w:val="28"/>
          <w:szCs w:val="28"/>
        </w:rPr>
        <w:t>《工业机器人应用技术》教案</w:t>
      </w:r>
    </w:p>
    <w:p w14:paraId="7716CAAB">
      <w:pPr>
        <w:spacing w:line="240" w:lineRule="auto"/>
        <w:jc w:val="center"/>
        <w:rPr>
          <w:rFonts w:hint="eastAsia" w:ascii="黑体" w:hAnsi="黑体" w:eastAsia="黑体" w:cs="黑体"/>
          <w:b w:val="0"/>
          <w:bCs/>
          <w:sz w:val="28"/>
          <w:szCs w:val="28"/>
        </w:rPr>
      </w:pPr>
      <w:bookmarkStart w:id="0" w:name="_Toc12445"/>
      <w:bookmarkStart w:id="1" w:name="_Toc17880"/>
      <w:r>
        <w:rPr>
          <w:rFonts w:hint="eastAsia" w:asciiTheme="minorHAnsi" w:hAnsiTheme="minorHAnsi" w:eastAsiaTheme="minorEastAsia" w:cstheme="minorBidi"/>
          <w:snapToGrid/>
          <w:sz w:val="30"/>
          <w:szCs w:val="30"/>
          <w:highlight w:val="none"/>
          <w:lang w:eastAsia="zh-CN"/>
        </w:rPr>
        <w:t>项目</w:t>
      </w:r>
      <w:r>
        <w:rPr>
          <w:rFonts w:hint="eastAsia" w:asciiTheme="minorHAnsi" w:hAnsiTheme="minorHAnsi" w:eastAsiaTheme="minorEastAsia" w:cstheme="minorBidi"/>
          <w:snapToGrid/>
          <w:sz w:val="30"/>
          <w:szCs w:val="30"/>
          <w:highlight w:val="none"/>
          <w:lang w:val="en-US" w:eastAsia="zh-CN"/>
        </w:rPr>
        <w:t>5</w:t>
      </w:r>
      <w:r>
        <w:rPr>
          <w:rFonts w:hint="eastAsia" w:asciiTheme="minorHAnsi" w:hAnsiTheme="minorHAnsi" w:eastAsiaTheme="minorEastAsia" w:cstheme="minorBidi"/>
          <w:snapToGrid/>
          <w:sz w:val="30"/>
          <w:szCs w:val="30"/>
          <w:highlight w:val="none"/>
          <w:lang w:eastAsia="zh-CN"/>
        </w:rPr>
        <w:t xml:space="preserve"> </w:t>
      </w:r>
      <w:bookmarkEnd w:id="0"/>
      <w:bookmarkEnd w:id="1"/>
      <w:r>
        <w:rPr>
          <w:rFonts w:hint="eastAsia" w:asciiTheme="minorHAnsi" w:hAnsiTheme="minorHAnsi" w:eastAsiaTheme="minorEastAsia" w:cstheme="minorBidi"/>
          <w:snapToGrid/>
          <w:sz w:val="30"/>
          <w:szCs w:val="30"/>
          <w:highlight w:val="none"/>
          <w:lang w:eastAsia="zh-CN"/>
        </w:rPr>
        <w:t>工业机器人视觉检测分拣作业</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4"/>
        <w:gridCol w:w="3634"/>
        <w:gridCol w:w="1111"/>
        <w:gridCol w:w="3721"/>
      </w:tblGrid>
      <w:tr w14:paraId="00ED2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354" w:type="dxa"/>
            <w:vAlign w:val="center"/>
          </w:tcPr>
          <w:p w14:paraId="43383C90">
            <w:pPr>
              <w:jc w:val="left"/>
              <w:rPr>
                <w:b/>
              </w:rPr>
            </w:pPr>
            <w:r>
              <w:rPr>
                <w:rFonts w:hint="eastAsia" w:ascii="黑体" w:hAnsi="黑体" w:eastAsia="黑体" w:cs="黑体"/>
                <w:b w:val="0"/>
                <w:bCs/>
              </w:rPr>
              <w:t>授课日期</w:t>
            </w:r>
          </w:p>
        </w:tc>
        <w:tc>
          <w:tcPr>
            <w:tcW w:w="3634" w:type="dxa"/>
            <w:vAlign w:val="center"/>
          </w:tcPr>
          <w:p w14:paraId="605DB6DE">
            <w:pPr>
              <w:jc w:val="left"/>
              <w:rPr>
                <w:color w:val="A6A6A6" w:themeColor="background1" w:themeShade="A6"/>
              </w:rPr>
            </w:pPr>
          </w:p>
        </w:tc>
        <w:tc>
          <w:tcPr>
            <w:tcW w:w="1111" w:type="dxa"/>
            <w:vAlign w:val="center"/>
          </w:tcPr>
          <w:p w14:paraId="21631576">
            <w:pPr>
              <w:jc w:val="left"/>
              <w:rPr>
                <w:rFonts w:hint="default" w:eastAsiaTheme="minorEastAsia"/>
                <w:b/>
                <w:lang w:val="en-US" w:eastAsia="zh-CN"/>
              </w:rPr>
            </w:pPr>
            <w:r>
              <w:rPr>
                <w:rFonts w:hint="eastAsia" w:ascii="黑体" w:hAnsi="黑体" w:eastAsia="黑体" w:cs="黑体"/>
                <w:b w:val="0"/>
                <w:bCs/>
                <w:lang w:val="en-US" w:eastAsia="zh-CN"/>
              </w:rPr>
              <w:t>授课班级</w:t>
            </w:r>
          </w:p>
        </w:tc>
        <w:tc>
          <w:tcPr>
            <w:tcW w:w="3721" w:type="dxa"/>
            <w:vAlign w:val="center"/>
          </w:tcPr>
          <w:p w14:paraId="19FEF54F">
            <w:pPr>
              <w:jc w:val="left"/>
              <w:rPr>
                <w:b/>
              </w:rPr>
            </w:pPr>
          </w:p>
        </w:tc>
      </w:tr>
      <w:tr w14:paraId="4AA53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354" w:type="dxa"/>
            <w:vAlign w:val="center"/>
          </w:tcPr>
          <w:p w14:paraId="067674E2">
            <w:pPr>
              <w:jc w:val="left"/>
              <w:rPr>
                <w:rFonts w:hint="eastAsia"/>
                <w:b/>
              </w:rPr>
            </w:pPr>
            <w:r>
              <w:rPr>
                <w:rFonts w:hint="eastAsia" w:ascii="黑体" w:hAnsi="黑体" w:eastAsia="黑体" w:cs="黑体"/>
                <w:b w:val="0"/>
                <w:bCs/>
                <w:lang w:val="en-US" w:eastAsia="zh-CN"/>
              </w:rPr>
              <w:t>教案主题</w:t>
            </w:r>
          </w:p>
        </w:tc>
        <w:tc>
          <w:tcPr>
            <w:tcW w:w="8466" w:type="dxa"/>
            <w:gridSpan w:val="3"/>
            <w:vAlign w:val="center"/>
          </w:tcPr>
          <w:p w14:paraId="5A1A1C0B">
            <w:pPr>
              <w:jc w:val="left"/>
            </w:pPr>
            <w:r>
              <w:rPr>
                <w:rFonts w:hint="eastAsia" w:ascii="黑体" w:hAnsi="黑体" w:eastAsia="黑体" w:cs="黑体"/>
                <w:b w:val="0"/>
                <w:bCs/>
                <w:lang w:val="en-US" w:eastAsia="zh-CN"/>
              </w:rPr>
              <w:t>汽车轮毂视觉检测分拣作业</w:t>
            </w:r>
          </w:p>
        </w:tc>
      </w:tr>
      <w:tr w14:paraId="4A554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354" w:type="dxa"/>
            <w:vAlign w:val="center"/>
          </w:tcPr>
          <w:p w14:paraId="3AD00986">
            <w:pPr>
              <w:jc w:val="left"/>
              <w:rPr>
                <w:b/>
              </w:rPr>
            </w:pPr>
            <w:r>
              <w:rPr>
                <w:rFonts w:hint="eastAsia" w:ascii="黑体" w:hAnsi="黑体" w:eastAsia="黑体" w:cs="黑体"/>
                <w:b w:val="0"/>
                <w:bCs/>
                <w:lang w:val="en-US" w:eastAsia="zh-CN"/>
              </w:rPr>
              <w:t>学时分配</w:t>
            </w:r>
          </w:p>
        </w:tc>
        <w:tc>
          <w:tcPr>
            <w:tcW w:w="3634" w:type="dxa"/>
            <w:vAlign w:val="center"/>
          </w:tcPr>
          <w:p w14:paraId="75CC1B82">
            <w:pPr>
              <w:jc w:val="left"/>
              <w:rPr>
                <w:rFonts w:hint="default"/>
                <w:color w:val="A6A6A6" w:themeColor="background1" w:themeShade="A6"/>
                <w:lang w:val="en-US"/>
              </w:rPr>
            </w:pPr>
            <w:r>
              <w:rPr>
                <w:rFonts w:hint="eastAsia" w:ascii="黑体" w:hAnsi="黑体" w:eastAsia="黑体" w:cs="黑体"/>
                <w:b w:val="0"/>
                <w:bCs/>
                <w:lang w:val="en-US" w:eastAsia="zh-CN"/>
              </w:rPr>
              <w:t>理实一体化教学8学时</w:t>
            </w:r>
          </w:p>
        </w:tc>
        <w:tc>
          <w:tcPr>
            <w:tcW w:w="1111" w:type="dxa"/>
            <w:vAlign w:val="center"/>
          </w:tcPr>
          <w:p w14:paraId="5419758B">
            <w:pPr>
              <w:jc w:val="left"/>
              <w:rPr>
                <w:b/>
              </w:rPr>
            </w:pPr>
            <w:r>
              <w:rPr>
                <w:rFonts w:hint="eastAsia" w:ascii="黑体" w:hAnsi="黑体" w:eastAsia="黑体" w:cs="黑体"/>
                <w:b w:val="0"/>
                <w:bCs/>
                <w:lang w:val="en-US" w:eastAsia="zh-CN"/>
              </w:rPr>
              <w:t>主讲教师</w:t>
            </w:r>
          </w:p>
        </w:tc>
        <w:tc>
          <w:tcPr>
            <w:tcW w:w="3721" w:type="dxa"/>
            <w:vAlign w:val="center"/>
          </w:tcPr>
          <w:p w14:paraId="57A1E373">
            <w:pPr>
              <w:jc w:val="left"/>
              <w:rPr>
                <w:b/>
              </w:rPr>
            </w:pPr>
          </w:p>
        </w:tc>
      </w:tr>
      <w:tr w14:paraId="0CE1B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trPr>
        <w:tc>
          <w:tcPr>
            <w:tcW w:w="1354" w:type="dxa"/>
            <w:vAlign w:val="center"/>
          </w:tcPr>
          <w:p w14:paraId="19886501">
            <w:pPr>
              <w:jc w:val="left"/>
              <w:rPr>
                <w:b/>
              </w:rPr>
            </w:pPr>
            <w:r>
              <w:rPr>
                <w:rFonts w:hint="eastAsia" w:ascii="黑体" w:hAnsi="黑体" w:eastAsia="黑体" w:cs="黑体"/>
                <w:b w:val="0"/>
                <w:bCs/>
                <w:lang w:val="en-US" w:eastAsia="zh-CN"/>
              </w:rPr>
              <w:t>教学目标</w:t>
            </w:r>
          </w:p>
        </w:tc>
        <w:tc>
          <w:tcPr>
            <w:tcW w:w="8466" w:type="dxa"/>
            <w:gridSpan w:val="3"/>
            <w:vAlign w:val="center"/>
          </w:tcPr>
          <w:p w14:paraId="327A7C8B">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1.知识目标：</w:t>
            </w:r>
          </w:p>
          <w:p w14:paraId="1A1B0E05">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（1）了解视觉检测系统的工作原理。</w:t>
            </w:r>
          </w:p>
          <w:p w14:paraId="0DC2AE2A">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（2）</w:t>
            </w:r>
            <w:r>
              <w:rPr>
                <w:rFonts w:hint="eastAsia" w:ascii="黑体" w:hAnsi="黑体" w:eastAsia="黑体" w:cs="黑体"/>
                <w:b w:val="0"/>
                <w:bCs/>
                <w:kern w:val="2"/>
                <w:sz w:val="21"/>
                <w:szCs w:val="22"/>
                <w:lang w:val="en-US" w:eastAsia="zh-CN" w:bidi="ar-SA"/>
              </w:rPr>
              <w:t>了解机器人与视觉系统的基本通信方式。</w:t>
            </w:r>
          </w:p>
          <w:p w14:paraId="6A6B39FC">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（3）</w:t>
            </w:r>
            <w:r>
              <w:rPr>
                <w:rFonts w:hint="eastAsia" w:ascii="黑体" w:hAnsi="黑体" w:eastAsia="黑体" w:cs="黑体"/>
                <w:b w:val="0"/>
                <w:bCs/>
                <w:kern w:val="2"/>
                <w:sz w:val="21"/>
                <w:szCs w:val="22"/>
                <w:lang w:val="en-US" w:eastAsia="zh-CN" w:bidi="ar-SA"/>
              </w:rPr>
              <w:t>熟悉套接字的使用方法。</w:t>
            </w:r>
          </w:p>
          <w:p w14:paraId="2453F3A2">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w:t>
            </w:r>
            <w:r>
              <w:rPr>
                <w:rFonts w:hint="eastAsia" w:ascii="黑体" w:hAnsi="黑体" w:eastAsia="黑体" w:cs="黑体"/>
                <w:b w:val="0"/>
                <w:bCs/>
                <w:kern w:val="2"/>
                <w:sz w:val="21"/>
                <w:szCs w:val="22"/>
                <w:lang w:val="en-US" w:eastAsia="zh-CN" w:bidi="ar-SA"/>
              </w:rPr>
              <w:t>4</w:t>
            </w:r>
            <w:r>
              <w:rPr>
                <w:rFonts w:hint="default" w:ascii="黑体" w:hAnsi="黑体" w:eastAsia="黑体" w:cs="黑体"/>
                <w:b w:val="0"/>
                <w:bCs/>
                <w:kern w:val="2"/>
                <w:sz w:val="21"/>
                <w:szCs w:val="22"/>
                <w:lang w:val="en-US" w:eastAsia="zh-CN" w:bidi="ar-SA"/>
              </w:rPr>
              <w:t>）掌握分拣功能的程序编写及调试</w:t>
            </w:r>
            <w:r>
              <w:rPr>
                <w:rFonts w:hint="eastAsia" w:ascii="黑体" w:hAnsi="黑体" w:eastAsia="黑体" w:cs="黑体"/>
                <w:b w:val="0"/>
                <w:bCs/>
                <w:kern w:val="2"/>
                <w:sz w:val="21"/>
                <w:szCs w:val="22"/>
                <w:lang w:val="en-US" w:eastAsia="zh-CN" w:bidi="ar-SA"/>
              </w:rPr>
              <w:t>。</w:t>
            </w:r>
          </w:p>
          <w:p w14:paraId="62725003">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w:t>
            </w:r>
            <w:r>
              <w:rPr>
                <w:rFonts w:hint="eastAsia" w:ascii="黑体" w:hAnsi="黑体" w:eastAsia="黑体" w:cs="黑体"/>
                <w:b w:val="0"/>
                <w:bCs/>
                <w:kern w:val="2"/>
                <w:sz w:val="21"/>
                <w:szCs w:val="22"/>
                <w:lang w:val="en-US" w:eastAsia="zh-CN" w:bidi="ar-SA"/>
              </w:rPr>
              <w:t>5</w:t>
            </w:r>
            <w:r>
              <w:rPr>
                <w:rFonts w:hint="default" w:ascii="黑体" w:hAnsi="黑体" w:eastAsia="黑体" w:cs="黑体"/>
                <w:b w:val="0"/>
                <w:bCs/>
                <w:kern w:val="2"/>
                <w:sz w:val="21"/>
                <w:szCs w:val="22"/>
                <w:lang w:val="en-US" w:eastAsia="zh-CN" w:bidi="ar-SA"/>
              </w:rPr>
              <w:t>）掌握轮</w:t>
            </w:r>
            <w:r>
              <w:rPr>
                <w:rFonts w:hint="eastAsia" w:ascii="黑体" w:hAnsi="黑体" w:eastAsia="黑体" w:cs="黑体"/>
                <w:b w:val="0"/>
                <w:bCs/>
                <w:kern w:val="2"/>
                <w:sz w:val="21"/>
                <w:szCs w:val="22"/>
                <w:lang w:val="en-US" w:eastAsia="zh-CN" w:bidi="ar-SA"/>
              </w:rPr>
              <w:t>毂</w:t>
            </w:r>
            <w:r>
              <w:rPr>
                <w:rFonts w:hint="default" w:ascii="黑体" w:hAnsi="黑体" w:eastAsia="黑体" w:cs="黑体"/>
                <w:b w:val="0"/>
                <w:bCs/>
                <w:kern w:val="2"/>
                <w:sz w:val="21"/>
                <w:szCs w:val="22"/>
                <w:lang w:val="en-US" w:eastAsia="zh-CN" w:bidi="ar-SA"/>
              </w:rPr>
              <w:t>状态检测的程序编制</w:t>
            </w:r>
            <w:r>
              <w:rPr>
                <w:rFonts w:hint="eastAsia" w:ascii="黑体" w:hAnsi="黑体" w:eastAsia="黑体" w:cs="黑体"/>
                <w:b w:val="0"/>
                <w:bCs/>
                <w:kern w:val="2"/>
                <w:sz w:val="21"/>
                <w:szCs w:val="22"/>
                <w:lang w:val="en-US" w:eastAsia="zh-CN" w:bidi="ar-SA"/>
              </w:rPr>
              <w:t>方法。</w:t>
            </w:r>
          </w:p>
          <w:p w14:paraId="2E63D4DB">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2.技能目标：</w:t>
            </w:r>
          </w:p>
          <w:p w14:paraId="05AF7F63">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（1）能够设置机器人与视觉系统的通信。</w:t>
            </w:r>
          </w:p>
          <w:p w14:paraId="5B496435">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（2）</w:t>
            </w:r>
            <w:r>
              <w:rPr>
                <w:rFonts w:hint="eastAsia" w:ascii="黑体" w:hAnsi="黑体" w:eastAsia="黑体" w:cs="黑体"/>
                <w:b w:val="0"/>
                <w:bCs/>
                <w:kern w:val="2"/>
                <w:sz w:val="21"/>
                <w:szCs w:val="22"/>
                <w:lang w:val="en-US" w:eastAsia="zh-CN" w:bidi="ar-SA"/>
              </w:rPr>
              <w:t>能够编制机器人与视觉系统的通信程序。</w:t>
            </w:r>
          </w:p>
          <w:p w14:paraId="12F475EF">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（3）</w:t>
            </w:r>
            <w:r>
              <w:rPr>
                <w:rFonts w:hint="eastAsia" w:ascii="黑体" w:hAnsi="黑体" w:eastAsia="黑体" w:cs="黑体"/>
                <w:b w:val="0"/>
                <w:bCs/>
                <w:kern w:val="2"/>
                <w:sz w:val="21"/>
                <w:szCs w:val="22"/>
                <w:lang w:val="en-US" w:eastAsia="zh-CN" w:bidi="ar-SA"/>
              </w:rPr>
              <w:t>能够进行轮毂状态检测的程序编制。</w:t>
            </w:r>
          </w:p>
          <w:p w14:paraId="1086858B">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w:t>
            </w:r>
            <w:r>
              <w:rPr>
                <w:rFonts w:hint="eastAsia" w:ascii="黑体" w:hAnsi="黑体" w:eastAsia="黑体" w:cs="黑体"/>
                <w:b w:val="0"/>
                <w:bCs/>
                <w:kern w:val="2"/>
                <w:sz w:val="21"/>
                <w:szCs w:val="22"/>
                <w:lang w:val="en-US" w:eastAsia="zh-CN" w:bidi="ar-SA"/>
              </w:rPr>
              <w:t>4</w:t>
            </w:r>
            <w:r>
              <w:rPr>
                <w:rFonts w:hint="default" w:ascii="黑体" w:hAnsi="黑体" w:eastAsia="黑体" w:cs="黑体"/>
                <w:b w:val="0"/>
                <w:bCs/>
                <w:kern w:val="2"/>
                <w:sz w:val="21"/>
                <w:szCs w:val="22"/>
                <w:lang w:val="en-US" w:eastAsia="zh-CN" w:bidi="ar-SA"/>
              </w:rPr>
              <w:t>）</w:t>
            </w:r>
            <w:r>
              <w:rPr>
                <w:rFonts w:hint="eastAsia" w:ascii="黑体" w:hAnsi="黑体" w:eastAsia="黑体" w:cs="黑体"/>
                <w:b w:val="0"/>
                <w:bCs/>
                <w:kern w:val="2"/>
                <w:sz w:val="21"/>
                <w:szCs w:val="22"/>
                <w:lang w:val="en-US" w:eastAsia="zh-CN" w:bidi="ar-SA"/>
              </w:rPr>
              <w:t>能够</w:t>
            </w:r>
            <w:r>
              <w:rPr>
                <w:rFonts w:hint="default" w:ascii="黑体" w:hAnsi="黑体" w:eastAsia="黑体" w:cs="黑体"/>
                <w:b w:val="0"/>
                <w:bCs/>
                <w:kern w:val="2"/>
                <w:sz w:val="21"/>
                <w:szCs w:val="22"/>
                <w:lang w:val="en-US" w:eastAsia="zh-CN" w:bidi="ar-SA"/>
              </w:rPr>
              <w:t>实现分拣功能的程序编写及调试</w:t>
            </w:r>
            <w:r>
              <w:rPr>
                <w:rFonts w:hint="eastAsia" w:ascii="黑体" w:hAnsi="黑体" w:eastAsia="黑体" w:cs="黑体"/>
                <w:b w:val="0"/>
                <w:bCs/>
                <w:kern w:val="2"/>
                <w:sz w:val="21"/>
                <w:szCs w:val="22"/>
                <w:lang w:val="en-US" w:eastAsia="zh-CN" w:bidi="ar-SA"/>
              </w:rPr>
              <w:t>。</w:t>
            </w:r>
          </w:p>
          <w:p w14:paraId="2241DD01">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w:t>
            </w:r>
            <w:r>
              <w:rPr>
                <w:rFonts w:hint="eastAsia" w:ascii="黑体" w:hAnsi="黑体" w:eastAsia="黑体" w:cs="黑体"/>
                <w:b w:val="0"/>
                <w:bCs/>
                <w:kern w:val="2"/>
                <w:sz w:val="21"/>
                <w:szCs w:val="22"/>
                <w:lang w:val="en-US" w:eastAsia="zh-CN" w:bidi="ar-SA"/>
              </w:rPr>
              <w:t>5</w:t>
            </w:r>
            <w:r>
              <w:rPr>
                <w:rFonts w:hint="default" w:ascii="黑体" w:hAnsi="黑体" w:eastAsia="黑体" w:cs="黑体"/>
                <w:b w:val="0"/>
                <w:bCs/>
                <w:kern w:val="2"/>
                <w:sz w:val="21"/>
                <w:szCs w:val="22"/>
                <w:lang w:val="en-US" w:eastAsia="zh-CN" w:bidi="ar-SA"/>
              </w:rPr>
              <w:t>）</w:t>
            </w:r>
            <w:r>
              <w:rPr>
                <w:rFonts w:hint="eastAsia" w:ascii="黑体" w:hAnsi="黑体" w:eastAsia="黑体" w:cs="黑体"/>
                <w:b w:val="0"/>
                <w:bCs/>
                <w:kern w:val="2"/>
                <w:sz w:val="21"/>
                <w:szCs w:val="22"/>
                <w:lang w:val="en-US" w:eastAsia="zh-CN" w:bidi="ar-SA"/>
              </w:rPr>
              <w:t>能够完成视觉系统程序设计。</w:t>
            </w:r>
          </w:p>
          <w:p w14:paraId="3613A91B">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3.素质目标：</w:t>
            </w:r>
          </w:p>
          <w:p w14:paraId="0C840181">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（1）</w:t>
            </w:r>
            <w:r>
              <w:rPr>
                <w:rFonts w:hint="eastAsia" w:ascii="黑体" w:hAnsi="黑体" w:eastAsia="黑体" w:cs="黑体"/>
                <w:b w:val="0"/>
                <w:bCs/>
                <w:kern w:val="2"/>
                <w:sz w:val="21"/>
                <w:szCs w:val="22"/>
                <w:lang w:val="en-US" w:eastAsia="zh-CN" w:bidi="ar-SA"/>
              </w:rPr>
              <w:t>养成遇事勤思考、有思路、会分析、能解决的思维方式。</w:t>
            </w:r>
          </w:p>
          <w:p w14:paraId="280D78E4">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（2）</w:t>
            </w:r>
            <w:r>
              <w:rPr>
                <w:rFonts w:hint="eastAsia" w:ascii="黑体" w:hAnsi="黑体" w:eastAsia="黑体" w:cs="黑体"/>
                <w:b w:val="0"/>
                <w:bCs/>
                <w:kern w:val="2"/>
                <w:sz w:val="21"/>
                <w:szCs w:val="22"/>
                <w:lang w:val="en-US" w:eastAsia="zh-CN" w:bidi="ar-SA"/>
              </w:rPr>
              <w:t>养成严格遵守“7S规范”的操作习惯。</w:t>
            </w:r>
          </w:p>
          <w:p w14:paraId="1C9E9DDE">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（3）</w:t>
            </w:r>
            <w:r>
              <w:rPr>
                <w:rFonts w:hint="eastAsia" w:ascii="黑体" w:hAnsi="黑体" w:eastAsia="黑体" w:cs="黑体"/>
                <w:b w:val="0"/>
                <w:bCs/>
                <w:kern w:val="2"/>
                <w:sz w:val="21"/>
                <w:szCs w:val="22"/>
                <w:lang w:val="en-US" w:eastAsia="zh-CN" w:bidi="ar-SA"/>
              </w:rPr>
              <w:t>树立绿色环保的理想。</w:t>
            </w:r>
          </w:p>
          <w:p w14:paraId="276E44F2">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w:t>
            </w:r>
            <w:r>
              <w:rPr>
                <w:rFonts w:hint="eastAsia" w:ascii="黑体" w:hAnsi="黑体" w:eastAsia="黑体" w:cs="黑体"/>
                <w:b w:val="0"/>
                <w:bCs/>
                <w:kern w:val="2"/>
                <w:sz w:val="21"/>
                <w:szCs w:val="22"/>
                <w:lang w:val="en-US" w:eastAsia="zh-CN" w:bidi="ar-SA"/>
              </w:rPr>
              <w:t>4</w:t>
            </w:r>
            <w:r>
              <w:rPr>
                <w:rFonts w:hint="default" w:ascii="黑体" w:hAnsi="黑体" w:eastAsia="黑体" w:cs="黑体"/>
                <w:b w:val="0"/>
                <w:bCs/>
                <w:kern w:val="2"/>
                <w:sz w:val="21"/>
                <w:szCs w:val="22"/>
                <w:lang w:val="en-US" w:eastAsia="zh-CN" w:bidi="ar-SA"/>
              </w:rPr>
              <w:t>）</w:t>
            </w:r>
            <w:r>
              <w:rPr>
                <w:rFonts w:hint="eastAsia" w:ascii="黑体" w:hAnsi="黑体" w:eastAsia="黑体" w:cs="黑体"/>
                <w:b w:val="0"/>
                <w:bCs/>
                <w:kern w:val="2"/>
                <w:sz w:val="21"/>
                <w:szCs w:val="22"/>
                <w:lang w:val="en-US" w:eastAsia="zh-CN" w:bidi="ar-SA"/>
              </w:rPr>
              <w:t>树立行业责任感的理想。</w:t>
            </w:r>
          </w:p>
          <w:p w14:paraId="0E582D19">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w:t>
            </w:r>
            <w:r>
              <w:rPr>
                <w:rFonts w:hint="eastAsia" w:ascii="黑体" w:hAnsi="黑体" w:eastAsia="黑体" w:cs="黑体"/>
                <w:b w:val="0"/>
                <w:bCs/>
                <w:kern w:val="2"/>
                <w:sz w:val="21"/>
                <w:szCs w:val="22"/>
                <w:lang w:val="en-US" w:eastAsia="zh-CN" w:bidi="ar-SA"/>
              </w:rPr>
              <w:t>5</w:t>
            </w:r>
            <w:r>
              <w:rPr>
                <w:rFonts w:hint="default" w:ascii="黑体" w:hAnsi="黑体" w:eastAsia="黑体" w:cs="黑体"/>
                <w:b w:val="0"/>
                <w:bCs/>
                <w:kern w:val="2"/>
                <w:sz w:val="21"/>
                <w:szCs w:val="22"/>
                <w:lang w:val="en-US" w:eastAsia="zh-CN" w:bidi="ar-SA"/>
              </w:rPr>
              <w:t>）</w:t>
            </w:r>
            <w:r>
              <w:rPr>
                <w:rFonts w:hint="eastAsia" w:ascii="黑体" w:hAnsi="黑体" w:eastAsia="黑体" w:cs="黑体"/>
                <w:b w:val="0"/>
                <w:bCs/>
                <w:kern w:val="2"/>
                <w:sz w:val="21"/>
                <w:szCs w:val="22"/>
                <w:lang w:val="en-US" w:eastAsia="zh-CN" w:bidi="ar-SA"/>
              </w:rPr>
              <w:t>提高团队协作的能力。</w:t>
            </w:r>
          </w:p>
          <w:p w14:paraId="6CBAF7BA">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pPr>
            <w:r>
              <w:rPr>
                <w:rFonts w:hint="default" w:ascii="黑体" w:hAnsi="黑体" w:eastAsia="黑体" w:cs="黑体"/>
                <w:b w:val="0"/>
                <w:bCs/>
                <w:kern w:val="2"/>
                <w:sz w:val="21"/>
                <w:szCs w:val="22"/>
                <w:lang w:val="en-US" w:eastAsia="zh-CN" w:bidi="ar-SA"/>
              </w:rPr>
              <w:t>（</w:t>
            </w:r>
            <w:r>
              <w:rPr>
                <w:rFonts w:hint="eastAsia" w:ascii="黑体" w:hAnsi="黑体" w:eastAsia="黑体" w:cs="黑体"/>
                <w:b w:val="0"/>
                <w:bCs/>
                <w:kern w:val="2"/>
                <w:sz w:val="21"/>
                <w:szCs w:val="22"/>
                <w:lang w:val="en-US" w:eastAsia="zh-CN" w:bidi="ar-SA"/>
              </w:rPr>
              <w:t>6</w:t>
            </w:r>
            <w:r>
              <w:rPr>
                <w:rFonts w:hint="default" w:ascii="黑体" w:hAnsi="黑体" w:eastAsia="黑体" w:cs="黑体"/>
                <w:b w:val="0"/>
                <w:bCs/>
                <w:kern w:val="2"/>
                <w:sz w:val="21"/>
                <w:szCs w:val="22"/>
                <w:lang w:val="en-US" w:eastAsia="zh-CN" w:bidi="ar-SA"/>
              </w:rPr>
              <w:t>）</w:t>
            </w:r>
            <w:r>
              <w:rPr>
                <w:rFonts w:hint="eastAsia" w:ascii="黑体" w:hAnsi="黑体" w:eastAsia="黑体" w:cs="黑体"/>
                <w:b w:val="0"/>
                <w:bCs/>
                <w:kern w:val="2"/>
                <w:sz w:val="21"/>
                <w:szCs w:val="22"/>
                <w:lang w:val="en-US" w:eastAsia="zh-CN" w:bidi="ar-SA"/>
              </w:rPr>
              <w:t>提高数据分析的能力。</w:t>
            </w:r>
          </w:p>
        </w:tc>
      </w:tr>
      <w:tr w14:paraId="554D0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354" w:type="dxa"/>
            <w:vAlign w:val="center"/>
          </w:tcPr>
          <w:p w14:paraId="7C13F901">
            <w:pPr>
              <w:jc w:val="left"/>
              <w:rPr>
                <w:b/>
              </w:rPr>
            </w:pPr>
            <w:r>
              <w:rPr>
                <w:rFonts w:hint="eastAsia" w:ascii="黑体" w:hAnsi="黑体" w:eastAsia="黑体" w:cs="黑体"/>
                <w:b w:val="0"/>
                <w:bCs/>
                <w:lang w:val="en-US" w:eastAsia="zh-CN"/>
              </w:rPr>
              <w:t>教学重点</w:t>
            </w:r>
          </w:p>
        </w:tc>
        <w:tc>
          <w:tcPr>
            <w:tcW w:w="8466" w:type="dxa"/>
            <w:gridSpan w:val="3"/>
            <w:vAlign w:val="center"/>
          </w:tcPr>
          <w:p w14:paraId="4451111C">
            <w:pPr>
              <w:jc w:val="left"/>
            </w:pPr>
            <w:r>
              <w:rPr>
                <w:rFonts w:hint="eastAsia" w:ascii="黑体" w:hAnsi="黑体" w:eastAsia="黑体" w:cs="黑体"/>
                <w:b w:val="0"/>
                <w:bCs/>
                <w:kern w:val="2"/>
                <w:sz w:val="21"/>
                <w:szCs w:val="22"/>
                <w:lang w:val="en-US" w:eastAsia="zh-CN" w:bidi="ar-SA"/>
              </w:rPr>
              <w:t>机器人与视觉系统的基本通信方式。</w:t>
            </w:r>
          </w:p>
        </w:tc>
      </w:tr>
      <w:tr w14:paraId="2B7EA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354" w:type="dxa"/>
            <w:vAlign w:val="center"/>
          </w:tcPr>
          <w:p w14:paraId="64BA2DD7">
            <w:pPr>
              <w:jc w:val="left"/>
              <w:rPr>
                <w:rFonts w:hint="eastAsia" w:ascii="黑体" w:hAnsi="黑体" w:eastAsia="黑体" w:cs="黑体"/>
                <w:b w:val="0"/>
                <w:bCs/>
                <w:lang w:val="en-US" w:eastAsia="zh-CN"/>
              </w:rPr>
            </w:pPr>
            <w:r>
              <w:rPr>
                <w:rFonts w:hint="eastAsia" w:ascii="黑体" w:hAnsi="黑体" w:eastAsia="黑体" w:cs="黑体"/>
                <w:b w:val="0"/>
                <w:bCs/>
                <w:lang w:val="en-US" w:eastAsia="zh-CN"/>
              </w:rPr>
              <w:t>教学难点</w:t>
            </w:r>
          </w:p>
        </w:tc>
        <w:tc>
          <w:tcPr>
            <w:tcW w:w="8466" w:type="dxa"/>
            <w:gridSpan w:val="3"/>
            <w:vAlign w:val="center"/>
          </w:tcPr>
          <w:p w14:paraId="43B8A529">
            <w:pPr>
              <w:jc w:val="left"/>
            </w:pPr>
            <w:r>
              <w:rPr>
                <w:rFonts w:hint="eastAsia" w:ascii="黑体" w:hAnsi="黑体" w:eastAsia="黑体" w:cs="黑体"/>
                <w:b w:val="0"/>
                <w:bCs/>
                <w:kern w:val="2"/>
                <w:sz w:val="21"/>
                <w:szCs w:val="22"/>
                <w:lang w:val="en-US" w:eastAsia="zh-CN" w:bidi="ar-SA"/>
              </w:rPr>
              <w:t>视觉系统程序设计</w:t>
            </w:r>
          </w:p>
        </w:tc>
      </w:tr>
      <w:tr w14:paraId="46501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8" w:hRule="atLeast"/>
        </w:trPr>
        <w:tc>
          <w:tcPr>
            <w:tcW w:w="1354" w:type="dxa"/>
            <w:vAlign w:val="center"/>
          </w:tcPr>
          <w:p w14:paraId="7936BC38">
            <w:pPr>
              <w:jc w:val="left"/>
              <w:rPr>
                <w:rFonts w:hint="eastAsia" w:ascii="黑体" w:hAnsi="黑体" w:eastAsia="黑体" w:cs="黑体"/>
                <w:b w:val="0"/>
                <w:bCs/>
                <w:lang w:val="en-US" w:eastAsia="zh-CN"/>
              </w:rPr>
            </w:pPr>
            <w:r>
              <w:rPr>
                <w:rFonts w:hint="eastAsia" w:ascii="黑体" w:hAnsi="黑体" w:eastAsia="黑体" w:cs="黑体"/>
                <w:b w:val="0"/>
                <w:bCs/>
                <w:lang w:val="en-US" w:eastAsia="zh-CN"/>
              </w:rPr>
              <w:t>教学设计</w:t>
            </w:r>
          </w:p>
          <w:p w14:paraId="3FB8F4A5">
            <w:pPr>
              <w:jc w:val="left"/>
              <w:rPr>
                <w:rFonts w:hint="eastAsia" w:ascii="黑体" w:hAnsi="黑体" w:eastAsia="黑体" w:cs="黑体"/>
                <w:b w:val="0"/>
                <w:bCs/>
                <w:lang w:val="en-US" w:eastAsia="zh-CN"/>
              </w:rPr>
            </w:pPr>
            <w:r>
              <w:rPr>
                <w:rFonts w:hint="eastAsia" w:ascii="黑体" w:hAnsi="黑体" w:eastAsia="黑体" w:cs="黑体"/>
                <w:b w:val="0"/>
                <w:bCs/>
                <w:lang w:val="en-US" w:eastAsia="zh-CN"/>
              </w:rPr>
              <w:t>思路</w:t>
            </w:r>
          </w:p>
        </w:tc>
        <w:tc>
          <w:tcPr>
            <w:tcW w:w="8466" w:type="dxa"/>
            <w:gridSpan w:val="3"/>
            <w:vAlign w:val="center"/>
          </w:tcPr>
          <w:p w14:paraId="6E5854FD">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一、本单元教学内容重塑</w:t>
            </w:r>
          </w:p>
          <w:p w14:paraId="1F8B3975">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重塑原则与方法</w:t>
            </w:r>
          </w:p>
          <w:p w14:paraId="6D255FFA">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原则：紧密围绕工业实际需求，确保学生所学知识与技能能直接应用于工业机器人视觉检测分拣的工作场景。着重培养学生的实践能力、问题解决能力以及创新思维，以适应未来复杂多变的工业环境。遵循学生的认知规律，由浅入深、从理论到实践逐步安排教学内容，帮助学生扎实掌握知识与技能。</w:t>
            </w:r>
          </w:p>
          <w:p w14:paraId="013FBB85">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方法</w:t>
            </w:r>
            <w:r>
              <w:rPr>
                <w:rFonts w:hint="eastAsia" w:ascii="黑体" w:hAnsi="黑体" w:eastAsia="黑体" w:cs="黑体"/>
                <w:b w:val="0"/>
                <w:bCs/>
                <w:kern w:val="2"/>
                <w:sz w:val="21"/>
                <w:szCs w:val="22"/>
                <w:lang w:val="en-US" w:eastAsia="zh-CN" w:bidi="ar-SA"/>
              </w:rPr>
              <w:t>：</w:t>
            </w:r>
            <w:r>
              <w:rPr>
                <w:rFonts w:hint="default" w:ascii="黑体" w:hAnsi="黑体" w:eastAsia="黑体" w:cs="黑体"/>
                <w:b w:val="0"/>
                <w:bCs/>
                <w:kern w:val="2"/>
                <w:sz w:val="21"/>
                <w:szCs w:val="22"/>
                <w:lang w:val="en-US" w:eastAsia="zh-CN" w:bidi="ar-SA"/>
              </w:rPr>
              <w:t>打破传统学科界限，将机器人技术、机器视觉、自动化控制等相关知识进行有机整合，构建以工业机器人视觉检测分拣作业为核心的知识体系。引入实际项目案例，以项目任务驱动学生学习，让学生在完成项目的过程中掌握知识和技能，培养团队协作和自主学习能力。</w:t>
            </w:r>
          </w:p>
          <w:p w14:paraId="234687B8">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内容结构</w:t>
            </w:r>
          </w:p>
          <w:p w14:paraId="1EB4E451">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基础理论</w:t>
            </w:r>
          </w:p>
          <w:p w14:paraId="51690397">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工业机器人基础：工业机器人的结构、分类、运动学原理。</w:t>
            </w:r>
          </w:p>
          <w:p w14:paraId="773EC7D7">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机器视觉基础：视觉检测系统的组成、图像采集原理。</w:t>
            </w:r>
          </w:p>
          <w:p w14:paraId="1D990642">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自动化控制基础：PLC 控制原理、传感器应用基础。</w:t>
            </w:r>
          </w:p>
          <w:p w14:paraId="529F0B67">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视觉检测技术</w:t>
            </w:r>
          </w:p>
          <w:p w14:paraId="4AE9148A">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工业相机标定：相机标定的目的、方法及实现步骤。</w:t>
            </w:r>
          </w:p>
          <w:p w14:paraId="46DB1DC4">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图像识别与分析：基于模板匹配、深度学习等方法的目标识别，缺陷检测与分析。</w:t>
            </w:r>
          </w:p>
          <w:p w14:paraId="10485131">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w:t>
            </w:r>
            <w:r>
              <w:rPr>
                <w:rFonts w:hint="default" w:ascii="黑体" w:hAnsi="黑体" w:eastAsia="黑体" w:cs="黑体"/>
                <w:b w:val="0"/>
                <w:bCs/>
                <w:kern w:val="2"/>
                <w:sz w:val="21"/>
                <w:szCs w:val="22"/>
                <w:lang w:val="en-US" w:eastAsia="zh-CN" w:bidi="ar-SA"/>
              </w:rPr>
              <w:t>分拣作业编程</w:t>
            </w:r>
          </w:p>
          <w:p w14:paraId="0C13C578">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机器人编程基础：工业机器人编程语言及指令系统。</w:t>
            </w:r>
          </w:p>
          <w:p w14:paraId="435A1A28">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视觉分拣编程实现：结合视觉检测结果，编写机器人分拣动作程序，实现精准分拣。</w:t>
            </w:r>
          </w:p>
          <w:p w14:paraId="7C07A6BF">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w:t>
            </w:r>
            <w:r>
              <w:rPr>
                <w:rFonts w:hint="default" w:ascii="黑体" w:hAnsi="黑体" w:eastAsia="黑体" w:cs="黑体"/>
                <w:b w:val="0"/>
                <w:bCs/>
                <w:kern w:val="2"/>
                <w:sz w:val="21"/>
                <w:szCs w:val="22"/>
                <w:lang w:val="en-US" w:eastAsia="zh-CN" w:bidi="ar-SA"/>
              </w:rPr>
              <w:t>系统集成与调试</w:t>
            </w:r>
          </w:p>
          <w:p w14:paraId="7D42857D">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系统搭建：工业机器人、视觉检测设备、输送线等硬件的连接与集成。</w:t>
            </w:r>
          </w:p>
          <w:p w14:paraId="58CD3D89">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系统调试与优化：调试过程中的常见问题及解决方法，优化系统性能，提高分拣效率与准确率。</w:t>
            </w:r>
          </w:p>
          <w:p w14:paraId="2CA61E36">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二、教学资源</w:t>
            </w:r>
          </w:p>
          <w:p w14:paraId="0B7B357E">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教学视频</w:t>
            </w:r>
          </w:p>
          <w:p w14:paraId="1DCDA1A8">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 xml:space="preserve">    </w:t>
            </w:r>
            <w:r>
              <w:rPr>
                <w:rFonts w:hint="default" w:ascii="黑体" w:hAnsi="黑体" w:eastAsia="黑体" w:cs="黑体"/>
                <w:b w:val="0"/>
                <w:bCs/>
                <w:kern w:val="2"/>
                <w:sz w:val="21"/>
                <w:szCs w:val="22"/>
                <w:lang w:val="en-US" w:eastAsia="zh-CN" w:bidi="ar-SA"/>
              </w:rPr>
              <w:t>针对关键知识点和实践操作环节，制作一系列自建视频。如工业相机标定实操演示、机器人视觉分拣编程全过程展示、系统集成与调试步骤讲解等，这些视频更具针对性，紧密结合实际教学需求，能有效辅助学生理解和掌握重难点内容。</w:t>
            </w:r>
          </w:p>
          <w:p w14:paraId="776B1B68">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案例库</w:t>
            </w:r>
          </w:p>
          <w:p w14:paraId="1F618C41">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8" w:leftChars="0" w:firstLine="369" w:firstLineChars="176"/>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收集实际工业生产中不同类型产品的视觉检测分拣案例，如电子零件分拣、食品包装检测分拣等。详细分析案例背景、项目需求、解决方案以及实施过程中的经验教训，引导学生从实际案例中学习知识和方法。</w:t>
            </w:r>
          </w:p>
          <w:p w14:paraId="09D4CFA5">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w:t>
            </w:r>
            <w:r>
              <w:rPr>
                <w:rFonts w:hint="default" w:ascii="黑体" w:hAnsi="黑体" w:eastAsia="黑体" w:cs="黑体"/>
                <w:b w:val="0"/>
                <w:bCs/>
                <w:kern w:val="2"/>
                <w:sz w:val="21"/>
                <w:szCs w:val="22"/>
                <w:lang w:val="en-US" w:eastAsia="zh-CN" w:bidi="ar-SA"/>
              </w:rPr>
              <w:t>习题库</w:t>
            </w:r>
          </w:p>
          <w:p w14:paraId="702AF3B1">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firstLine="420" w:firstLineChars="200"/>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题型设置：涵盖选择题、填空题、简答题、编程题和案例分析题等多种题型。选择题和填空题主要考查基础知识的掌握情况；简答题用于检测学生对重要概念和原理的理解；编程题要求学生运用所学编程语言实现特定的视觉检测分拣功能；案例分析题则培养学生分析和解决实际问题的能力。</w:t>
            </w:r>
          </w:p>
          <w:p w14:paraId="168A0F42">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w:t>
            </w:r>
            <w:r>
              <w:rPr>
                <w:rFonts w:hint="default" w:ascii="黑体" w:hAnsi="黑体" w:eastAsia="黑体" w:cs="黑体"/>
                <w:b w:val="0"/>
                <w:bCs/>
                <w:kern w:val="2"/>
                <w:sz w:val="21"/>
                <w:szCs w:val="22"/>
                <w:lang w:val="en-US" w:eastAsia="zh-CN" w:bidi="ar-SA"/>
              </w:rPr>
              <w:t>实验项目库</w:t>
            </w:r>
          </w:p>
          <w:p w14:paraId="4E67B62C">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0" w:leftChars="0" w:firstLine="375" w:firstLineChars="17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基础实验：如 “工业机器人基本操作实验”“机器视觉图像采集与处理实验”，帮助学生熟悉工业机器人和机器视觉设备的基本操作，掌握图像处理的基本方法。</w:t>
            </w:r>
          </w:p>
          <w:p w14:paraId="3384B118">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0" w:leftChars="0" w:firstLine="375" w:firstLineChars="17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综合实验：“工业机器人视觉检测分拣综合实验”，要求学生将视觉检测与机器人分拣动作相结合，完成一个完整的分拣任务，培养学生的综合应用能力。</w:t>
            </w:r>
          </w:p>
          <w:p w14:paraId="670D626E">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0" w:leftChars="0" w:firstLine="375" w:firstLineChars="17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拓展实验：“基于深度学习的视觉检测分拣优化实验”，鼓励学生探索前沿技术在工业领域的应用，提升学生的创新能力。</w:t>
            </w:r>
          </w:p>
          <w:p w14:paraId="08B66FF1">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三、教学流程及方法</w:t>
            </w:r>
          </w:p>
          <w:p w14:paraId="61FA11E0">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教学流程</w:t>
            </w:r>
          </w:p>
          <w:p w14:paraId="283C40F4">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课程导入：通过播放实际工业生产中工业机器人视觉检测分拣作业的视频，展示其高效、精准的工作场景，引发学生兴趣，提出问题，引导学生思考视觉检测分拣作业的实现原理和关键技术。</w:t>
            </w:r>
          </w:p>
          <w:p w14:paraId="01DD6454">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知识讲解：结合 PPT、动画、视频等多种教学手段，系统讲解工业机器人视觉检测分拣作业的基础理论、技术方法和编程知识。讲解过程中注重理论与实际案例相结合，帮助学生理解抽象概念。</w:t>
            </w:r>
          </w:p>
          <w:p w14:paraId="3CDBB62C">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w:t>
            </w:r>
            <w:r>
              <w:rPr>
                <w:rFonts w:hint="default" w:ascii="黑体" w:hAnsi="黑体" w:eastAsia="黑体" w:cs="黑体"/>
                <w:b w:val="0"/>
                <w:bCs/>
                <w:kern w:val="2"/>
                <w:sz w:val="21"/>
                <w:szCs w:val="22"/>
                <w:lang w:val="en-US" w:eastAsia="zh-CN" w:bidi="ar-SA"/>
              </w:rPr>
              <w:t>案例分析：选取典型的 CBL 和 PBL 案例进行深入分析，引导学生从案例中学习解决实际问题的思路和方法，培养学生的工程思维能力。</w:t>
            </w:r>
          </w:p>
          <w:p w14:paraId="5FDE8010">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w:t>
            </w:r>
            <w:r>
              <w:rPr>
                <w:rFonts w:hint="default" w:ascii="黑体" w:hAnsi="黑体" w:eastAsia="黑体" w:cs="黑体"/>
                <w:b w:val="0"/>
                <w:bCs/>
                <w:kern w:val="2"/>
                <w:sz w:val="21"/>
                <w:szCs w:val="22"/>
                <w:lang w:val="en-US" w:eastAsia="zh-CN" w:bidi="ar-SA"/>
              </w:rPr>
              <w:t>实践操作：学生在实验室进行实验项目操作，按照从基础实验到综合实验再到拓展实验的顺序，逐步提升实践能力。教师在实践过程中巡回指导，及时解决学生遇到的问题。</w:t>
            </w:r>
          </w:p>
          <w:p w14:paraId="3E19F7C2">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（5）</w:t>
            </w:r>
            <w:r>
              <w:rPr>
                <w:rFonts w:hint="default" w:ascii="黑体" w:hAnsi="黑体" w:eastAsia="黑体" w:cs="黑体"/>
                <w:b w:val="0"/>
                <w:bCs/>
                <w:kern w:val="2"/>
                <w:sz w:val="21"/>
                <w:szCs w:val="22"/>
                <w:lang w:val="en-US" w:eastAsia="zh-CN" w:bidi="ar-SA"/>
              </w:rPr>
              <w:t>总结评价：学生对实验结果进行总结汇报，分享学习收获和遇到的问题及解决方法。教师对学生的学习成果进行评价，总结课程重点知识和技能，强调注意事项，为后续学习和实践提供指导。</w:t>
            </w:r>
          </w:p>
          <w:p w14:paraId="2E3746A8">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 教学方法</w:t>
            </w:r>
          </w:p>
          <w:p w14:paraId="2F92AD27">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（1）讲授法：讲解理论知识，确保学生掌握基本概念和原理。</w:t>
            </w:r>
          </w:p>
          <w:p w14:paraId="74277DCE">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（2）案例教学法：通过实际案例，加深学生对知识的理解和应用。</w:t>
            </w:r>
          </w:p>
          <w:p w14:paraId="14E8ACF7">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（3）小组合作学习法：培养学生团队协作和沟通能力。</w:t>
            </w:r>
          </w:p>
          <w:p w14:paraId="54E44ABB">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（4）项目驱动法：以实际项目为载体，提升学生综合实践能力。</w:t>
            </w:r>
          </w:p>
          <w:p w14:paraId="4D4D068F">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四、学习评价</w:t>
            </w:r>
          </w:p>
          <w:p w14:paraId="412FE1EF">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1.评价方式</w:t>
            </w:r>
          </w:p>
          <w:p w14:paraId="4F54FC53">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firstLine="420" w:firstLineChars="200"/>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采用学生自评、小组互评、教师评价相结合的多元评价方式。</w:t>
            </w:r>
          </w:p>
          <w:p w14:paraId="0924EF9E">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2.评价表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
              <w:gridCol w:w="671"/>
              <w:gridCol w:w="896"/>
              <w:gridCol w:w="3234"/>
              <w:gridCol w:w="644"/>
              <w:gridCol w:w="776"/>
              <w:gridCol w:w="1095"/>
            </w:tblGrid>
            <w:tr w14:paraId="73864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 w:type="dxa"/>
                  <w:shd w:val="clear" w:color="auto" w:fill="D7D7D7" w:themeFill="background1" w:themeFillShade="D8"/>
                  <w:vAlign w:val="center"/>
                </w:tcPr>
                <w:p w14:paraId="1B3F025F">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任务</w:t>
                  </w:r>
                </w:p>
              </w:tc>
              <w:tc>
                <w:tcPr>
                  <w:tcW w:w="679" w:type="dxa"/>
                  <w:shd w:val="clear" w:color="auto" w:fill="D7D7D7" w:themeFill="background1" w:themeFillShade="D8"/>
                  <w:vAlign w:val="center"/>
                </w:tcPr>
                <w:p w14:paraId="2C760F67">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内容</w:t>
                  </w:r>
                </w:p>
              </w:tc>
              <w:tc>
                <w:tcPr>
                  <w:tcW w:w="4306" w:type="dxa"/>
                  <w:gridSpan w:val="2"/>
                  <w:shd w:val="clear" w:color="auto" w:fill="D7D7D7" w:themeFill="background1" w:themeFillShade="D8"/>
                  <w:vAlign w:val="center"/>
                </w:tcPr>
                <w:p w14:paraId="6033223F">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评分标准</w:t>
                  </w:r>
                </w:p>
              </w:tc>
              <w:tc>
                <w:tcPr>
                  <w:tcW w:w="656" w:type="dxa"/>
                  <w:shd w:val="clear" w:color="auto" w:fill="D7D7D7" w:themeFill="background1" w:themeFillShade="D8"/>
                  <w:vAlign w:val="center"/>
                </w:tcPr>
                <w:p w14:paraId="743A9FAC">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配分</w:t>
                  </w:r>
                </w:p>
              </w:tc>
              <w:tc>
                <w:tcPr>
                  <w:tcW w:w="795" w:type="dxa"/>
                  <w:shd w:val="clear" w:color="auto" w:fill="D7D7D7" w:themeFill="background1" w:themeFillShade="D8"/>
                  <w:vAlign w:val="center"/>
                </w:tcPr>
                <w:p w14:paraId="1BC8619E">
                  <w:pPr>
                    <w:widowControl w:val="0"/>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得分</w:t>
                  </w:r>
                </w:p>
              </w:tc>
              <w:tc>
                <w:tcPr>
                  <w:tcW w:w="1130" w:type="dxa"/>
                  <w:shd w:val="clear" w:color="auto" w:fill="D7D7D7" w:themeFill="background1" w:themeFillShade="D8"/>
                  <w:vAlign w:val="center"/>
                </w:tcPr>
                <w:p w14:paraId="14893EAE">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小计</w:t>
                  </w:r>
                </w:p>
              </w:tc>
            </w:tr>
            <w:tr w14:paraId="0EC56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restart"/>
                </w:tcPr>
                <w:p w14:paraId="06087AFC">
                  <w:pPr>
                    <w:widowControl w:val="0"/>
                    <w:rPr>
                      <w:rFonts w:hint="eastAsia" w:ascii="黑体" w:hAnsi="黑体" w:eastAsia="黑体" w:cs="黑体"/>
                      <w:b w:val="0"/>
                      <w:bCs/>
                      <w:kern w:val="2"/>
                      <w:sz w:val="21"/>
                      <w:szCs w:val="22"/>
                      <w:lang w:val="en-US" w:eastAsia="zh-CN" w:bidi="ar-SA"/>
                    </w:rPr>
                  </w:pPr>
                </w:p>
                <w:p w14:paraId="7992A628">
                  <w:pPr>
                    <w:widowControl w:val="0"/>
                    <w:rPr>
                      <w:rFonts w:hint="eastAsia" w:ascii="黑体" w:hAnsi="黑体" w:eastAsia="黑体" w:cs="黑体"/>
                      <w:b w:val="0"/>
                      <w:bCs/>
                      <w:kern w:val="2"/>
                      <w:sz w:val="21"/>
                      <w:szCs w:val="22"/>
                      <w:lang w:val="en-US" w:eastAsia="zh-CN" w:bidi="ar-SA"/>
                    </w:rPr>
                  </w:pPr>
                </w:p>
                <w:p w14:paraId="54B4C96C">
                  <w:pPr>
                    <w:widowControl w:val="0"/>
                    <w:rPr>
                      <w:rFonts w:hint="eastAsia" w:ascii="黑体" w:hAnsi="黑体" w:eastAsia="黑体" w:cs="黑体"/>
                      <w:b w:val="0"/>
                      <w:bCs/>
                      <w:kern w:val="2"/>
                      <w:sz w:val="21"/>
                      <w:szCs w:val="22"/>
                      <w:lang w:val="en-US" w:eastAsia="zh-CN" w:bidi="ar-SA"/>
                    </w:rPr>
                  </w:pPr>
                </w:p>
                <w:p w14:paraId="69B8E94E">
                  <w:pPr>
                    <w:widowControl w:val="0"/>
                    <w:rPr>
                      <w:rFonts w:hint="eastAsia" w:ascii="黑体" w:hAnsi="黑体" w:eastAsia="黑体" w:cs="黑体"/>
                      <w:b w:val="0"/>
                      <w:bCs/>
                      <w:kern w:val="2"/>
                      <w:sz w:val="21"/>
                      <w:szCs w:val="22"/>
                      <w:lang w:val="en-US" w:eastAsia="zh-CN" w:bidi="ar-SA"/>
                    </w:rPr>
                  </w:pPr>
                </w:p>
                <w:p w14:paraId="28B7C2EE">
                  <w:pPr>
                    <w:widowControl w:val="0"/>
                    <w:rPr>
                      <w:rFonts w:hint="eastAsia" w:ascii="黑体" w:hAnsi="黑体" w:eastAsia="黑体" w:cs="黑体"/>
                      <w:b w:val="0"/>
                      <w:bCs/>
                      <w:kern w:val="2"/>
                      <w:sz w:val="21"/>
                      <w:szCs w:val="22"/>
                      <w:lang w:val="en-US" w:eastAsia="zh-CN" w:bidi="ar-SA"/>
                    </w:rPr>
                  </w:pPr>
                </w:p>
                <w:p w14:paraId="3A24CF53">
                  <w:pPr>
                    <w:widowControl w:val="0"/>
                    <w:rPr>
                      <w:rFonts w:hint="eastAsia" w:ascii="黑体" w:hAnsi="黑体" w:eastAsia="黑体" w:cs="黑体"/>
                      <w:b w:val="0"/>
                      <w:bCs/>
                      <w:kern w:val="2"/>
                      <w:sz w:val="21"/>
                      <w:szCs w:val="22"/>
                      <w:lang w:val="en-US" w:eastAsia="zh-CN" w:bidi="ar-SA"/>
                    </w:rPr>
                  </w:pPr>
                </w:p>
                <w:p w14:paraId="152C7E28">
                  <w:pPr>
                    <w:widowControl w:val="0"/>
                    <w:rPr>
                      <w:rFonts w:hint="eastAsia" w:ascii="黑体" w:hAnsi="黑体" w:eastAsia="黑体" w:cs="黑体"/>
                      <w:b w:val="0"/>
                      <w:bCs/>
                      <w:kern w:val="2"/>
                      <w:sz w:val="21"/>
                      <w:szCs w:val="22"/>
                      <w:lang w:val="en-US" w:eastAsia="zh-CN" w:bidi="ar-SA"/>
                    </w:rPr>
                  </w:pPr>
                </w:p>
                <w:p w14:paraId="2064E901">
                  <w:pPr>
                    <w:widowControl w:val="0"/>
                    <w:rPr>
                      <w:rFonts w:hint="eastAsia" w:ascii="黑体" w:hAnsi="黑体" w:eastAsia="黑体" w:cs="黑体"/>
                      <w:b w:val="0"/>
                      <w:bCs/>
                      <w:kern w:val="2"/>
                      <w:sz w:val="21"/>
                      <w:szCs w:val="22"/>
                      <w:lang w:val="en-US" w:eastAsia="zh-CN" w:bidi="ar-SA"/>
                    </w:rPr>
                  </w:pPr>
                </w:p>
                <w:p w14:paraId="5BE65EF3">
                  <w:pPr>
                    <w:widowControl w:val="0"/>
                    <w:rPr>
                      <w:rFonts w:hint="eastAsia" w:ascii="黑体" w:hAnsi="黑体" w:eastAsia="黑体" w:cs="黑体"/>
                      <w:b w:val="0"/>
                      <w:bCs/>
                      <w:kern w:val="2"/>
                      <w:sz w:val="21"/>
                      <w:szCs w:val="22"/>
                      <w:lang w:val="en-US" w:eastAsia="zh-CN" w:bidi="ar-SA"/>
                    </w:rPr>
                  </w:pPr>
                </w:p>
                <w:p w14:paraId="7B3B4A69">
                  <w:pPr>
                    <w:widowControl w:val="0"/>
                    <w:rPr>
                      <w:rFonts w:hint="eastAsia" w:ascii="黑体" w:hAnsi="黑体" w:eastAsia="黑体" w:cs="黑体"/>
                      <w:b w:val="0"/>
                      <w:bCs/>
                      <w:kern w:val="2"/>
                      <w:sz w:val="21"/>
                      <w:szCs w:val="22"/>
                      <w:lang w:val="en-US" w:eastAsia="zh-CN" w:bidi="ar-SA"/>
                    </w:rPr>
                  </w:pPr>
                </w:p>
                <w:p w14:paraId="72415BC4">
                  <w:pPr>
                    <w:widowControl w:val="0"/>
                    <w:rPr>
                      <w:rFonts w:hint="eastAsia" w:ascii="黑体" w:hAnsi="黑体" w:eastAsia="黑体" w:cs="黑体"/>
                      <w:b w:val="0"/>
                      <w:bCs/>
                      <w:kern w:val="2"/>
                      <w:sz w:val="21"/>
                      <w:szCs w:val="22"/>
                      <w:lang w:val="en-US" w:eastAsia="zh-CN" w:bidi="ar-SA"/>
                    </w:rPr>
                  </w:pPr>
                </w:p>
                <w:p w14:paraId="53665C5F">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汽车轮毂视觉检测分拣作业</w:t>
                  </w:r>
                </w:p>
              </w:tc>
              <w:tc>
                <w:tcPr>
                  <w:tcW w:w="679" w:type="dxa"/>
                  <w:vMerge w:val="restart"/>
                </w:tcPr>
                <w:p w14:paraId="52BB3B71">
                  <w:pPr>
                    <w:widowControl w:val="0"/>
                    <w:rPr>
                      <w:rFonts w:hint="eastAsia" w:ascii="黑体" w:hAnsi="黑体" w:eastAsia="黑体" w:cs="黑体"/>
                      <w:b w:val="0"/>
                      <w:bCs/>
                      <w:kern w:val="2"/>
                      <w:sz w:val="21"/>
                      <w:szCs w:val="22"/>
                      <w:lang w:val="en-US" w:eastAsia="zh-CN" w:bidi="ar-SA"/>
                    </w:rPr>
                  </w:pPr>
                </w:p>
                <w:p w14:paraId="0D0EFFE6">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数字素养</w:t>
                  </w:r>
                </w:p>
              </w:tc>
              <w:tc>
                <w:tcPr>
                  <w:tcW w:w="4306" w:type="dxa"/>
                  <w:gridSpan w:val="2"/>
                  <w:vAlign w:val="center"/>
                </w:tcPr>
                <w:p w14:paraId="233D8474">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信息收集方法</w:t>
                  </w:r>
                </w:p>
              </w:tc>
              <w:tc>
                <w:tcPr>
                  <w:tcW w:w="656" w:type="dxa"/>
                  <w:vAlign w:val="center"/>
                </w:tcPr>
                <w:p w14:paraId="7CD818DA">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5</w:t>
                  </w:r>
                </w:p>
              </w:tc>
              <w:tc>
                <w:tcPr>
                  <w:tcW w:w="795" w:type="dxa"/>
                  <w:vAlign w:val="top"/>
                </w:tcPr>
                <w:p w14:paraId="28F3C5D3">
                  <w:pPr>
                    <w:widowControl w:val="0"/>
                    <w:rPr>
                      <w:rFonts w:hint="eastAsia" w:ascii="黑体" w:hAnsi="黑体" w:eastAsia="黑体" w:cs="黑体"/>
                      <w:b w:val="0"/>
                      <w:bCs/>
                      <w:kern w:val="2"/>
                      <w:sz w:val="21"/>
                      <w:szCs w:val="22"/>
                      <w:lang w:val="en-US" w:eastAsia="zh-CN" w:bidi="ar-SA"/>
                    </w:rPr>
                  </w:pPr>
                </w:p>
              </w:tc>
              <w:tc>
                <w:tcPr>
                  <w:tcW w:w="1130" w:type="dxa"/>
                  <w:vMerge w:val="restart"/>
                </w:tcPr>
                <w:p w14:paraId="15334729">
                  <w:pPr>
                    <w:widowControl w:val="0"/>
                    <w:rPr>
                      <w:rFonts w:hint="eastAsia" w:ascii="黑体" w:hAnsi="黑体" w:eastAsia="黑体" w:cs="黑体"/>
                      <w:b w:val="0"/>
                      <w:bCs/>
                      <w:kern w:val="2"/>
                      <w:sz w:val="21"/>
                      <w:szCs w:val="22"/>
                      <w:lang w:val="en-US" w:eastAsia="zh-CN" w:bidi="ar-SA"/>
                    </w:rPr>
                  </w:pPr>
                </w:p>
              </w:tc>
            </w:tr>
            <w:tr w14:paraId="15936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tcPr>
                <w:p w14:paraId="1BFEEA45">
                  <w:pPr>
                    <w:widowControl w:val="0"/>
                    <w:rPr>
                      <w:rFonts w:hint="eastAsia" w:ascii="黑体" w:hAnsi="黑体" w:eastAsia="黑体" w:cs="黑体"/>
                      <w:b w:val="0"/>
                      <w:bCs/>
                      <w:kern w:val="2"/>
                      <w:sz w:val="21"/>
                      <w:szCs w:val="22"/>
                      <w:lang w:val="en-US" w:eastAsia="zh-CN" w:bidi="ar-SA"/>
                    </w:rPr>
                  </w:pPr>
                </w:p>
              </w:tc>
              <w:tc>
                <w:tcPr>
                  <w:tcW w:w="679" w:type="dxa"/>
                  <w:vMerge w:val="continue"/>
                </w:tcPr>
                <w:p w14:paraId="61DA58DE">
                  <w:pPr>
                    <w:widowControl w:val="0"/>
                    <w:rPr>
                      <w:rFonts w:hint="eastAsia" w:ascii="黑体" w:hAnsi="黑体" w:eastAsia="黑体" w:cs="黑体"/>
                      <w:b w:val="0"/>
                      <w:bCs/>
                      <w:kern w:val="2"/>
                      <w:sz w:val="21"/>
                      <w:szCs w:val="22"/>
                      <w:lang w:val="en-US" w:eastAsia="zh-CN" w:bidi="ar-SA"/>
                    </w:rPr>
                  </w:pPr>
                </w:p>
              </w:tc>
              <w:tc>
                <w:tcPr>
                  <w:tcW w:w="4306" w:type="dxa"/>
                  <w:gridSpan w:val="2"/>
                  <w:vAlign w:val="center"/>
                </w:tcPr>
                <w:p w14:paraId="7D68211B">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信息收集情况</w:t>
                  </w:r>
                </w:p>
              </w:tc>
              <w:tc>
                <w:tcPr>
                  <w:tcW w:w="656" w:type="dxa"/>
                  <w:vAlign w:val="center"/>
                </w:tcPr>
                <w:p w14:paraId="66F89ACF">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5</w:t>
                  </w:r>
                </w:p>
              </w:tc>
              <w:tc>
                <w:tcPr>
                  <w:tcW w:w="795" w:type="dxa"/>
                  <w:vAlign w:val="top"/>
                </w:tcPr>
                <w:p w14:paraId="196B1752">
                  <w:pPr>
                    <w:widowControl w:val="0"/>
                    <w:rPr>
                      <w:rFonts w:hint="eastAsia" w:ascii="黑体" w:hAnsi="黑体" w:eastAsia="黑体" w:cs="黑体"/>
                      <w:b w:val="0"/>
                      <w:bCs/>
                      <w:kern w:val="2"/>
                      <w:sz w:val="21"/>
                      <w:szCs w:val="22"/>
                      <w:lang w:val="en-US" w:eastAsia="zh-CN" w:bidi="ar-SA"/>
                    </w:rPr>
                  </w:pPr>
                </w:p>
              </w:tc>
              <w:tc>
                <w:tcPr>
                  <w:tcW w:w="1130" w:type="dxa"/>
                  <w:vMerge w:val="continue"/>
                </w:tcPr>
                <w:p w14:paraId="4B75EBA2">
                  <w:pPr>
                    <w:widowControl w:val="0"/>
                    <w:rPr>
                      <w:rFonts w:hint="eastAsia" w:ascii="黑体" w:hAnsi="黑体" w:eastAsia="黑体" w:cs="黑体"/>
                      <w:b w:val="0"/>
                      <w:bCs/>
                      <w:kern w:val="2"/>
                      <w:sz w:val="21"/>
                      <w:szCs w:val="22"/>
                      <w:lang w:val="en-US" w:eastAsia="zh-CN" w:bidi="ar-SA"/>
                    </w:rPr>
                  </w:pPr>
                </w:p>
              </w:tc>
            </w:tr>
            <w:tr w14:paraId="35F0C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tcPr>
                <w:p w14:paraId="44871BBC">
                  <w:pPr>
                    <w:widowControl w:val="0"/>
                    <w:rPr>
                      <w:rFonts w:hint="eastAsia" w:ascii="黑体" w:hAnsi="黑体" w:eastAsia="黑体" w:cs="黑体"/>
                      <w:b w:val="0"/>
                      <w:bCs/>
                      <w:kern w:val="2"/>
                      <w:sz w:val="21"/>
                      <w:szCs w:val="22"/>
                      <w:lang w:val="en-US" w:eastAsia="zh-CN" w:bidi="ar-SA"/>
                    </w:rPr>
                  </w:pPr>
                </w:p>
              </w:tc>
              <w:tc>
                <w:tcPr>
                  <w:tcW w:w="679" w:type="dxa"/>
                  <w:vMerge w:val="restart"/>
                </w:tcPr>
                <w:p w14:paraId="71134828">
                  <w:pPr>
                    <w:widowControl w:val="0"/>
                    <w:rPr>
                      <w:rFonts w:hint="eastAsia" w:ascii="黑体" w:hAnsi="黑体" w:eastAsia="黑体" w:cs="黑体"/>
                      <w:b w:val="0"/>
                      <w:bCs/>
                      <w:kern w:val="2"/>
                      <w:sz w:val="21"/>
                      <w:szCs w:val="22"/>
                      <w:lang w:val="en-US" w:eastAsia="zh-CN" w:bidi="ar-SA"/>
                    </w:rPr>
                  </w:pPr>
                </w:p>
                <w:p w14:paraId="1EE0225E">
                  <w:pPr>
                    <w:widowControl w:val="0"/>
                    <w:rPr>
                      <w:rFonts w:hint="eastAsia" w:ascii="黑体" w:hAnsi="黑体" w:eastAsia="黑体" w:cs="黑体"/>
                      <w:b w:val="0"/>
                      <w:bCs/>
                      <w:kern w:val="2"/>
                      <w:sz w:val="21"/>
                      <w:szCs w:val="22"/>
                      <w:lang w:val="en-US" w:eastAsia="zh-CN" w:bidi="ar-SA"/>
                    </w:rPr>
                  </w:pPr>
                </w:p>
                <w:p w14:paraId="12F16948">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工匠素养</w:t>
                  </w:r>
                </w:p>
              </w:tc>
              <w:tc>
                <w:tcPr>
                  <w:tcW w:w="4306" w:type="dxa"/>
                  <w:gridSpan w:val="2"/>
                  <w:vAlign w:val="center"/>
                </w:tcPr>
                <w:p w14:paraId="0DF08F13">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能够认真负责的推进任务</w:t>
                  </w:r>
                </w:p>
              </w:tc>
              <w:tc>
                <w:tcPr>
                  <w:tcW w:w="656" w:type="dxa"/>
                  <w:vAlign w:val="center"/>
                </w:tcPr>
                <w:p w14:paraId="47EDD50F">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5</w:t>
                  </w:r>
                </w:p>
              </w:tc>
              <w:tc>
                <w:tcPr>
                  <w:tcW w:w="795" w:type="dxa"/>
                  <w:vAlign w:val="top"/>
                </w:tcPr>
                <w:p w14:paraId="3063E4C7">
                  <w:pPr>
                    <w:widowControl w:val="0"/>
                    <w:rPr>
                      <w:rFonts w:hint="eastAsia" w:ascii="黑体" w:hAnsi="黑体" w:eastAsia="黑体" w:cs="黑体"/>
                      <w:b w:val="0"/>
                      <w:bCs/>
                      <w:kern w:val="2"/>
                      <w:sz w:val="21"/>
                      <w:szCs w:val="22"/>
                      <w:lang w:val="en-US" w:eastAsia="zh-CN" w:bidi="ar-SA"/>
                    </w:rPr>
                  </w:pPr>
                </w:p>
              </w:tc>
              <w:tc>
                <w:tcPr>
                  <w:tcW w:w="1130" w:type="dxa"/>
                  <w:vMerge w:val="continue"/>
                </w:tcPr>
                <w:p w14:paraId="231123FB">
                  <w:pPr>
                    <w:widowControl w:val="0"/>
                    <w:rPr>
                      <w:rFonts w:hint="eastAsia" w:ascii="黑体" w:hAnsi="黑体" w:eastAsia="黑体" w:cs="黑体"/>
                      <w:b w:val="0"/>
                      <w:bCs/>
                      <w:kern w:val="2"/>
                      <w:sz w:val="21"/>
                      <w:szCs w:val="22"/>
                      <w:lang w:val="en-US" w:eastAsia="zh-CN" w:bidi="ar-SA"/>
                    </w:rPr>
                  </w:pPr>
                </w:p>
              </w:tc>
            </w:tr>
            <w:tr w14:paraId="303D9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tcPr>
                <w:p w14:paraId="3856271C">
                  <w:pPr>
                    <w:widowControl w:val="0"/>
                    <w:rPr>
                      <w:rFonts w:hint="eastAsia" w:ascii="黑体" w:hAnsi="黑体" w:eastAsia="黑体" w:cs="黑体"/>
                      <w:b w:val="0"/>
                      <w:bCs/>
                      <w:kern w:val="2"/>
                      <w:sz w:val="21"/>
                      <w:szCs w:val="22"/>
                      <w:lang w:val="en-US" w:eastAsia="zh-CN" w:bidi="ar-SA"/>
                    </w:rPr>
                  </w:pPr>
                </w:p>
              </w:tc>
              <w:tc>
                <w:tcPr>
                  <w:tcW w:w="679" w:type="dxa"/>
                  <w:vMerge w:val="continue"/>
                </w:tcPr>
                <w:p w14:paraId="6AB730F5">
                  <w:pPr>
                    <w:widowControl w:val="0"/>
                    <w:rPr>
                      <w:rFonts w:hint="eastAsia" w:ascii="黑体" w:hAnsi="黑体" w:eastAsia="黑体" w:cs="黑体"/>
                      <w:b w:val="0"/>
                      <w:bCs/>
                      <w:kern w:val="2"/>
                      <w:sz w:val="21"/>
                      <w:szCs w:val="22"/>
                      <w:lang w:val="en-US" w:eastAsia="zh-CN" w:bidi="ar-SA"/>
                    </w:rPr>
                  </w:pPr>
                </w:p>
              </w:tc>
              <w:tc>
                <w:tcPr>
                  <w:tcW w:w="4306" w:type="dxa"/>
                  <w:gridSpan w:val="2"/>
                  <w:vAlign w:val="center"/>
                </w:tcPr>
                <w:p w14:paraId="01104E31">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能够开展有效的团队合作</w:t>
                  </w:r>
                </w:p>
              </w:tc>
              <w:tc>
                <w:tcPr>
                  <w:tcW w:w="656" w:type="dxa"/>
                  <w:vAlign w:val="center"/>
                </w:tcPr>
                <w:p w14:paraId="23948FEE">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5</w:t>
                  </w:r>
                </w:p>
              </w:tc>
              <w:tc>
                <w:tcPr>
                  <w:tcW w:w="795" w:type="dxa"/>
                  <w:vAlign w:val="top"/>
                </w:tcPr>
                <w:p w14:paraId="2ABAC568">
                  <w:pPr>
                    <w:widowControl w:val="0"/>
                    <w:rPr>
                      <w:rFonts w:hint="eastAsia" w:ascii="黑体" w:hAnsi="黑体" w:eastAsia="黑体" w:cs="黑体"/>
                      <w:b w:val="0"/>
                      <w:bCs/>
                      <w:kern w:val="2"/>
                      <w:sz w:val="21"/>
                      <w:szCs w:val="22"/>
                      <w:lang w:val="en-US" w:eastAsia="zh-CN" w:bidi="ar-SA"/>
                    </w:rPr>
                  </w:pPr>
                </w:p>
              </w:tc>
              <w:tc>
                <w:tcPr>
                  <w:tcW w:w="1130" w:type="dxa"/>
                  <w:vMerge w:val="continue"/>
                </w:tcPr>
                <w:p w14:paraId="56079D2C">
                  <w:pPr>
                    <w:widowControl w:val="0"/>
                    <w:rPr>
                      <w:rFonts w:hint="eastAsia" w:ascii="黑体" w:hAnsi="黑体" w:eastAsia="黑体" w:cs="黑体"/>
                      <w:b w:val="0"/>
                      <w:bCs/>
                      <w:kern w:val="2"/>
                      <w:sz w:val="21"/>
                      <w:szCs w:val="22"/>
                      <w:lang w:val="en-US" w:eastAsia="zh-CN" w:bidi="ar-SA"/>
                    </w:rPr>
                  </w:pPr>
                </w:p>
              </w:tc>
            </w:tr>
            <w:tr w14:paraId="101EE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tcPr>
                <w:p w14:paraId="7B5750A7">
                  <w:pPr>
                    <w:widowControl w:val="0"/>
                    <w:rPr>
                      <w:rFonts w:hint="eastAsia" w:ascii="黑体" w:hAnsi="黑体" w:eastAsia="黑体" w:cs="黑体"/>
                      <w:b w:val="0"/>
                      <w:bCs/>
                      <w:kern w:val="2"/>
                      <w:sz w:val="21"/>
                      <w:szCs w:val="22"/>
                      <w:lang w:val="en-US" w:eastAsia="zh-CN" w:bidi="ar-SA"/>
                    </w:rPr>
                  </w:pPr>
                </w:p>
              </w:tc>
              <w:tc>
                <w:tcPr>
                  <w:tcW w:w="679" w:type="dxa"/>
                  <w:vMerge w:val="continue"/>
                </w:tcPr>
                <w:p w14:paraId="377DAB26">
                  <w:pPr>
                    <w:widowControl w:val="0"/>
                    <w:rPr>
                      <w:rFonts w:hint="eastAsia" w:ascii="黑体" w:hAnsi="黑体" w:eastAsia="黑体" w:cs="黑体"/>
                      <w:b w:val="0"/>
                      <w:bCs/>
                      <w:kern w:val="2"/>
                      <w:sz w:val="21"/>
                      <w:szCs w:val="22"/>
                      <w:lang w:val="en-US" w:eastAsia="zh-CN" w:bidi="ar-SA"/>
                    </w:rPr>
                  </w:pPr>
                </w:p>
              </w:tc>
              <w:tc>
                <w:tcPr>
                  <w:tcW w:w="4306" w:type="dxa"/>
                  <w:gridSpan w:val="2"/>
                  <w:vAlign w:val="center"/>
                </w:tcPr>
                <w:p w14:paraId="73AE50C3">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遇到问题能够努力解决</w:t>
                  </w:r>
                </w:p>
              </w:tc>
              <w:tc>
                <w:tcPr>
                  <w:tcW w:w="656" w:type="dxa"/>
                  <w:vAlign w:val="center"/>
                </w:tcPr>
                <w:p w14:paraId="1575AA96">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5</w:t>
                  </w:r>
                </w:p>
              </w:tc>
              <w:tc>
                <w:tcPr>
                  <w:tcW w:w="795" w:type="dxa"/>
                  <w:vAlign w:val="top"/>
                </w:tcPr>
                <w:p w14:paraId="3F285868">
                  <w:pPr>
                    <w:widowControl w:val="0"/>
                    <w:rPr>
                      <w:rFonts w:hint="eastAsia" w:ascii="黑体" w:hAnsi="黑体" w:eastAsia="黑体" w:cs="黑体"/>
                      <w:b w:val="0"/>
                      <w:bCs/>
                      <w:kern w:val="2"/>
                      <w:sz w:val="21"/>
                      <w:szCs w:val="22"/>
                      <w:lang w:val="en-US" w:eastAsia="zh-CN" w:bidi="ar-SA"/>
                    </w:rPr>
                  </w:pPr>
                </w:p>
              </w:tc>
              <w:tc>
                <w:tcPr>
                  <w:tcW w:w="1130" w:type="dxa"/>
                  <w:vMerge w:val="continue"/>
                </w:tcPr>
                <w:p w14:paraId="0CD63DA2">
                  <w:pPr>
                    <w:widowControl w:val="0"/>
                    <w:rPr>
                      <w:rFonts w:hint="eastAsia" w:ascii="黑体" w:hAnsi="黑体" w:eastAsia="黑体" w:cs="黑体"/>
                      <w:b w:val="0"/>
                      <w:bCs/>
                      <w:kern w:val="2"/>
                      <w:sz w:val="21"/>
                      <w:szCs w:val="22"/>
                      <w:lang w:val="en-US" w:eastAsia="zh-CN" w:bidi="ar-SA"/>
                    </w:rPr>
                  </w:pPr>
                </w:p>
              </w:tc>
            </w:tr>
            <w:tr w14:paraId="680E3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tcPr>
                <w:p w14:paraId="1483E2C2">
                  <w:pPr>
                    <w:widowControl w:val="0"/>
                    <w:rPr>
                      <w:rFonts w:hint="eastAsia" w:ascii="黑体" w:hAnsi="黑体" w:eastAsia="黑体" w:cs="黑体"/>
                      <w:b w:val="0"/>
                      <w:bCs/>
                      <w:kern w:val="2"/>
                      <w:sz w:val="21"/>
                      <w:szCs w:val="22"/>
                      <w:lang w:val="en-US" w:eastAsia="zh-CN" w:bidi="ar-SA"/>
                    </w:rPr>
                  </w:pPr>
                </w:p>
              </w:tc>
              <w:tc>
                <w:tcPr>
                  <w:tcW w:w="679" w:type="dxa"/>
                  <w:vMerge w:val="restart"/>
                </w:tcPr>
                <w:p w14:paraId="7B66BC04">
                  <w:pPr>
                    <w:widowControl w:val="0"/>
                    <w:rPr>
                      <w:rFonts w:hint="eastAsia" w:ascii="黑体" w:hAnsi="黑体" w:eastAsia="黑体" w:cs="黑体"/>
                      <w:b w:val="0"/>
                      <w:bCs/>
                      <w:kern w:val="2"/>
                      <w:sz w:val="21"/>
                      <w:szCs w:val="22"/>
                      <w:lang w:val="en-US" w:eastAsia="zh-CN" w:bidi="ar-SA"/>
                    </w:rPr>
                  </w:pPr>
                </w:p>
                <w:p w14:paraId="4AE38747">
                  <w:pPr>
                    <w:widowControl w:val="0"/>
                    <w:rPr>
                      <w:rFonts w:hint="eastAsia" w:ascii="黑体" w:hAnsi="黑体" w:eastAsia="黑体" w:cs="黑体"/>
                      <w:b w:val="0"/>
                      <w:bCs/>
                      <w:kern w:val="2"/>
                      <w:sz w:val="21"/>
                      <w:szCs w:val="22"/>
                      <w:lang w:val="en-US" w:eastAsia="zh-CN" w:bidi="ar-SA"/>
                    </w:rPr>
                  </w:pPr>
                </w:p>
                <w:p w14:paraId="74D9C9B5">
                  <w:pPr>
                    <w:widowControl w:val="0"/>
                    <w:rPr>
                      <w:rFonts w:hint="eastAsia" w:ascii="黑体" w:hAnsi="黑体" w:eastAsia="黑体" w:cs="黑体"/>
                      <w:b w:val="0"/>
                      <w:bCs/>
                      <w:kern w:val="2"/>
                      <w:sz w:val="21"/>
                      <w:szCs w:val="22"/>
                      <w:lang w:val="en-US" w:eastAsia="zh-CN" w:bidi="ar-SA"/>
                    </w:rPr>
                  </w:pPr>
                </w:p>
                <w:p w14:paraId="581C4172">
                  <w:pPr>
                    <w:widowControl w:val="0"/>
                    <w:rPr>
                      <w:rFonts w:hint="eastAsia" w:ascii="黑体" w:hAnsi="黑体" w:eastAsia="黑体" w:cs="黑体"/>
                      <w:b w:val="0"/>
                      <w:bCs/>
                      <w:kern w:val="2"/>
                      <w:sz w:val="21"/>
                      <w:szCs w:val="22"/>
                      <w:lang w:val="en-US" w:eastAsia="zh-CN" w:bidi="ar-SA"/>
                    </w:rPr>
                  </w:pPr>
                </w:p>
                <w:p w14:paraId="56264C53">
                  <w:pPr>
                    <w:widowControl w:val="0"/>
                    <w:rPr>
                      <w:rFonts w:hint="eastAsia" w:ascii="黑体" w:hAnsi="黑体" w:eastAsia="黑体" w:cs="黑体"/>
                      <w:b w:val="0"/>
                      <w:bCs/>
                      <w:kern w:val="2"/>
                      <w:sz w:val="21"/>
                      <w:szCs w:val="22"/>
                      <w:lang w:val="en-US" w:eastAsia="zh-CN" w:bidi="ar-SA"/>
                    </w:rPr>
                  </w:pPr>
                </w:p>
                <w:p w14:paraId="00E03C05">
                  <w:pPr>
                    <w:widowControl w:val="0"/>
                    <w:rPr>
                      <w:rFonts w:hint="eastAsia" w:ascii="黑体" w:hAnsi="黑体" w:eastAsia="黑体" w:cs="黑体"/>
                      <w:b w:val="0"/>
                      <w:bCs/>
                      <w:kern w:val="2"/>
                      <w:sz w:val="21"/>
                      <w:szCs w:val="22"/>
                      <w:lang w:val="en-US" w:eastAsia="zh-CN" w:bidi="ar-SA"/>
                    </w:rPr>
                  </w:pPr>
                </w:p>
                <w:p w14:paraId="258F6542">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技能素养</w:t>
                  </w:r>
                </w:p>
              </w:tc>
              <w:tc>
                <w:tcPr>
                  <w:tcW w:w="4306" w:type="dxa"/>
                  <w:gridSpan w:val="2"/>
                  <w:vAlign w:val="center"/>
                </w:tcPr>
                <w:p w14:paraId="10EB25AA">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按下程序运行，视觉可以分拣不同的标签</w:t>
                  </w:r>
                </w:p>
              </w:tc>
              <w:tc>
                <w:tcPr>
                  <w:tcW w:w="656" w:type="dxa"/>
                  <w:vAlign w:val="center"/>
                </w:tcPr>
                <w:p w14:paraId="6211E11C">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15</w:t>
                  </w:r>
                </w:p>
              </w:tc>
              <w:tc>
                <w:tcPr>
                  <w:tcW w:w="795" w:type="dxa"/>
                  <w:vAlign w:val="top"/>
                </w:tcPr>
                <w:p w14:paraId="765A2074">
                  <w:pPr>
                    <w:widowControl w:val="0"/>
                    <w:rPr>
                      <w:rFonts w:hint="eastAsia" w:ascii="黑体" w:hAnsi="黑体" w:eastAsia="黑体" w:cs="黑体"/>
                      <w:b w:val="0"/>
                      <w:bCs/>
                      <w:kern w:val="2"/>
                      <w:sz w:val="21"/>
                      <w:szCs w:val="22"/>
                      <w:lang w:val="en-US" w:eastAsia="zh-CN" w:bidi="ar-SA"/>
                    </w:rPr>
                  </w:pPr>
                </w:p>
              </w:tc>
              <w:tc>
                <w:tcPr>
                  <w:tcW w:w="1130" w:type="dxa"/>
                  <w:vMerge w:val="continue"/>
                </w:tcPr>
                <w:p w14:paraId="72FD80D0">
                  <w:pPr>
                    <w:widowControl w:val="0"/>
                    <w:rPr>
                      <w:rFonts w:hint="eastAsia" w:ascii="黑体" w:hAnsi="黑体" w:eastAsia="黑体" w:cs="黑体"/>
                      <w:b w:val="0"/>
                      <w:bCs/>
                      <w:kern w:val="2"/>
                      <w:sz w:val="21"/>
                      <w:szCs w:val="22"/>
                      <w:lang w:val="en-US" w:eastAsia="zh-CN" w:bidi="ar-SA"/>
                    </w:rPr>
                  </w:pPr>
                </w:p>
              </w:tc>
            </w:tr>
            <w:tr w14:paraId="0015D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tcPr>
                <w:p w14:paraId="174E5B90">
                  <w:pPr>
                    <w:widowControl w:val="0"/>
                    <w:rPr>
                      <w:rFonts w:hint="eastAsia" w:ascii="黑体" w:hAnsi="黑体" w:eastAsia="黑体" w:cs="黑体"/>
                      <w:b w:val="0"/>
                      <w:bCs/>
                      <w:kern w:val="2"/>
                      <w:sz w:val="21"/>
                      <w:szCs w:val="22"/>
                      <w:lang w:val="en-US" w:eastAsia="zh-CN" w:bidi="ar-SA"/>
                    </w:rPr>
                  </w:pPr>
                </w:p>
              </w:tc>
              <w:tc>
                <w:tcPr>
                  <w:tcW w:w="679" w:type="dxa"/>
                  <w:vMerge w:val="continue"/>
                </w:tcPr>
                <w:p w14:paraId="07D6DE10">
                  <w:pPr>
                    <w:widowControl w:val="0"/>
                    <w:rPr>
                      <w:rFonts w:hint="eastAsia" w:ascii="黑体" w:hAnsi="黑体" w:eastAsia="黑体" w:cs="黑体"/>
                      <w:b w:val="0"/>
                      <w:bCs/>
                      <w:kern w:val="2"/>
                      <w:sz w:val="21"/>
                      <w:szCs w:val="22"/>
                      <w:lang w:val="en-US" w:eastAsia="zh-CN" w:bidi="ar-SA"/>
                    </w:rPr>
                  </w:pPr>
                </w:p>
              </w:tc>
              <w:tc>
                <w:tcPr>
                  <w:tcW w:w="4306" w:type="dxa"/>
                  <w:gridSpan w:val="2"/>
                  <w:vAlign w:val="center"/>
                </w:tcPr>
                <w:p w14:paraId="27B71AD7">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根据标签进行判断，进入分拣不同料仓</w:t>
                  </w:r>
                </w:p>
              </w:tc>
              <w:tc>
                <w:tcPr>
                  <w:tcW w:w="656" w:type="dxa"/>
                  <w:vAlign w:val="center"/>
                </w:tcPr>
                <w:p w14:paraId="022699C9">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10</w:t>
                  </w:r>
                </w:p>
              </w:tc>
              <w:tc>
                <w:tcPr>
                  <w:tcW w:w="795" w:type="dxa"/>
                  <w:vAlign w:val="top"/>
                </w:tcPr>
                <w:p w14:paraId="4E6C4AA4">
                  <w:pPr>
                    <w:widowControl w:val="0"/>
                    <w:rPr>
                      <w:rFonts w:hint="eastAsia" w:ascii="黑体" w:hAnsi="黑体" w:eastAsia="黑体" w:cs="黑体"/>
                      <w:b w:val="0"/>
                      <w:bCs/>
                      <w:kern w:val="2"/>
                      <w:sz w:val="21"/>
                      <w:szCs w:val="22"/>
                      <w:lang w:val="en-US" w:eastAsia="zh-CN" w:bidi="ar-SA"/>
                    </w:rPr>
                  </w:pPr>
                </w:p>
              </w:tc>
              <w:tc>
                <w:tcPr>
                  <w:tcW w:w="1130" w:type="dxa"/>
                  <w:vMerge w:val="continue"/>
                </w:tcPr>
                <w:p w14:paraId="5B047B1C">
                  <w:pPr>
                    <w:widowControl w:val="0"/>
                    <w:rPr>
                      <w:rFonts w:hint="eastAsia" w:ascii="黑体" w:hAnsi="黑体" w:eastAsia="黑体" w:cs="黑体"/>
                      <w:b w:val="0"/>
                      <w:bCs/>
                      <w:kern w:val="2"/>
                      <w:sz w:val="21"/>
                      <w:szCs w:val="22"/>
                      <w:lang w:val="en-US" w:eastAsia="zh-CN" w:bidi="ar-SA"/>
                    </w:rPr>
                  </w:pPr>
                </w:p>
              </w:tc>
            </w:tr>
            <w:tr w14:paraId="3E52C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tcPr>
                <w:p w14:paraId="247E8F2F">
                  <w:pPr>
                    <w:widowControl w:val="0"/>
                    <w:rPr>
                      <w:rFonts w:hint="eastAsia" w:ascii="黑体" w:hAnsi="黑体" w:eastAsia="黑体" w:cs="黑体"/>
                      <w:b w:val="0"/>
                      <w:bCs/>
                      <w:kern w:val="2"/>
                      <w:sz w:val="21"/>
                      <w:szCs w:val="22"/>
                      <w:lang w:val="en-US" w:eastAsia="zh-CN" w:bidi="ar-SA"/>
                    </w:rPr>
                  </w:pPr>
                </w:p>
              </w:tc>
              <w:tc>
                <w:tcPr>
                  <w:tcW w:w="679" w:type="dxa"/>
                  <w:vMerge w:val="continue"/>
                </w:tcPr>
                <w:p w14:paraId="164D5166">
                  <w:pPr>
                    <w:widowControl w:val="0"/>
                    <w:rPr>
                      <w:rFonts w:hint="eastAsia" w:ascii="黑体" w:hAnsi="黑体" w:eastAsia="黑体" w:cs="黑体"/>
                      <w:b w:val="0"/>
                      <w:bCs/>
                      <w:kern w:val="2"/>
                      <w:sz w:val="21"/>
                      <w:szCs w:val="22"/>
                      <w:lang w:val="en-US" w:eastAsia="zh-CN" w:bidi="ar-SA"/>
                    </w:rPr>
                  </w:pPr>
                </w:p>
              </w:tc>
              <w:tc>
                <w:tcPr>
                  <w:tcW w:w="4306" w:type="dxa"/>
                  <w:gridSpan w:val="2"/>
                  <w:vAlign w:val="center"/>
                </w:tcPr>
                <w:p w14:paraId="6025575C">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机器人能够正常取料</w:t>
                  </w:r>
                </w:p>
              </w:tc>
              <w:tc>
                <w:tcPr>
                  <w:tcW w:w="656" w:type="dxa"/>
                  <w:vAlign w:val="center"/>
                </w:tcPr>
                <w:p w14:paraId="097EB85E">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10</w:t>
                  </w:r>
                </w:p>
              </w:tc>
              <w:tc>
                <w:tcPr>
                  <w:tcW w:w="795" w:type="dxa"/>
                  <w:vAlign w:val="top"/>
                </w:tcPr>
                <w:p w14:paraId="1E67C3FB">
                  <w:pPr>
                    <w:widowControl w:val="0"/>
                    <w:rPr>
                      <w:rFonts w:hint="eastAsia" w:ascii="黑体" w:hAnsi="黑体" w:eastAsia="黑体" w:cs="黑体"/>
                      <w:b w:val="0"/>
                      <w:bCs/>
                      <w:kern w:val="2"/>
                      <w:sz w:val="21"/>
                      <w:szCs w:val="22"/>
                      <w:lang w:val="en-US" w:eastAsia="zh-CN" w:bidi="ar-SA"/>
                    </w:rPr>
                  </w:pPr>
                </w:p>
              </w:tc>
              <w:tc>
                <w:tcPr>
                  <w:tcW w:w="1130" w:type="dxa"/>
                  <w:vMerge w:val="continue"/>
                </w:tcPr>
                <w:p w14:paraId="3309C55D">
                  <w:pPr>
                    <w:widowControl w:val="0"/>
                    <w:rPr>
                      <w:rFonts w:hint="eastAsia" w:ascii="黑体" w:hAnsi="黑体" w:eastAsia="黑体" w:cs="黑体"/>
                      <w:b w:val="0"/>
                      <w:bCs/>
                      <w:kern w:val="2"/>
                      <w:sz w:val="21"/>
                      <w:szCs w:val="22"/>
                      <w:lang w:val="en-US" w:eastAsia="zh-CN" w:bidi="ar-SA"/>
                    </w:rPr>
                  </w:pPr>
                </w:p>
              </w:tc>
            </w:tr>
            <w:tr w14:paraId="59FD5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tcPr>
                <w:p w14:paraId="0284340F">
                  <w:pPr>
                    <w:widowControl w:val="0"/>
                    <w:rPr>
                      <w:rFonts w:hint="eastAsia" w:ascii="黑体" w:hAnsi="黑体" w:eastAsia="黑体" w:cs="黑体"/>
                      <w:b w:val="0"/>
                      <w:bCs/>
                      <w:kern w:val="2"/>
                      <w:sz w:val="21"/>
                      <w:szCs w:val="22"/>
                      <w:lang w:val="en-US" w:eastAsia="zh-CN" w:bidi="ar-SA"/>
                    </w:rPr>
                  </w:pPr>
                </w:p>
              </w:tc>
              <w:tc>
                <w:tcPr>
                  <w:tcW w:w="679" w:type="dxa"/>
                  <w:vMerge w:val="continue"/>
                </w:tcPr>
                <w:p w14:paraId="3FDF50EB">
                  <w:pPr>
                    <w:widowControl w:val="0"/>
                    <w:rPr>
                      <w:rFonts w:hint="eastAsia" w:ascii="黑体" w:hAnsi="黑体" w:eastAsia="黑体" w:cs="黑体"/>
                      <w:b w:val="0"/>
                      <w:bCs/>
                      <w:kern w:val="2"/>
                      <w:sz w:val="21"/>
                      <w:szCs w:val="22"/>
                      <w:lang w:val="en-US" w:eastAsia="zh-CN" w:bidi="ar-SA"/>
                    </w:rPr>
                  </w:pPr>
                </w:p>
              </w:tc>
              <w:tc>
                <w:tcPr>
                  <w:tcW w:w="4306" w:type="dxa"/>
                  <w:gridSpan w:val="2"/>
                  <w:vAlign w:val="center"/>
                </w:tcPr>
                <w:p w14:paraId="0A34775B">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机器人能够正常放料</w:t>
                  </w:r>
                </w:p>
              </w:tc>
              <w:tc>
                <w:tcPr>
                  <w:tcW w:w="656" w:type="dxa"/>
                  <w:vAlign w:val="center"/>
                </w:tcPr>
                <w:p w14:paraId="52C13D2C">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10</w:t>
                  </w:r>
                </w:p>
              </w:tc>
              <w:tc>
                <w:tcPr>
                  <w:tcW w:w="795" w:type="dxa"/>
                  <w:vAlign w:val="top"/>
                </w:tcPr>
                <w:p w14:paraId="7C65FE82">
                  <w:pPr>
                    <w:widowControl w:val="0"/>
                    <w:rPr>
                      <w:rFonts w:hint="eastAsia" w:ascii="黑体" w:hAnsi="黑体" w:eastAsia="黑体" w:cs="黑体"/>
                      <w:b w:val="0"/>
                      <w:bCs/>
                      <w:kern w:val="2"/>
                      <w:sz w:val="21"/>
                      <w:szCs w:val="22"/>
                      <w:lang w:val="en-US" w:eastAsia="zh-CN" w:bidi="ar-SA"/>
                    </w:rPr>
                  </w:pPr>
                </w:p>
              </w:tc>
              <w:tc>
                <w:tcPr>
                  <w:tcW w:w="1130" w:type="dxa"/>
                  <w:vMerge w:val="continue"/>
                </w:tcPr>
                <w:p w14:paraId="05530EE4">
                  <w:pPr>
                    <w:widowControl w:val="0"/>
                    <w:rPr>
                      <w:rFonts w:hint="eastAsia" w:ascii="黑体" w:hAnsi="黑体" w:eastAsia="黑体" w:cs="黑体"/>
                      <w:b w:val="0"/>
                      <w:bCs/>
                      <w:kern w:val="2"/>
                      <w:sz w:val="21"/>
                      <w:szCs w:val="22"/>
                      <w:lang w:val="en-US" w:eastAsia="zh-CN" w:bidi="ar-SA"/>
                    </w:rPr>
                  </w:pPr>
                </w:p>
              </w:tc>
            </w:tr>
            <w:tr w14:paraId="189DA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tcPr>
                <w:p w14:paraId="72453AC0">
                  <w:pPr>
                    <w:widowControl w:val="0"/>
                    <w:rPr>
                      <w:rFonts w:hint="eastAsia" w:ascii="黑体" w:hAnsi="黑体" w:eastAsia="黑体" w:cs="黑体"/>
                      <w:b w:val="0"/>
                      <w:bCs/>
                      <w:kern w:val="2"/>
                      <w:sz w:val="21"/>
                      <w:szCs w:val="22"/>
                      <w:lang w:val="en-US" w:eastAsia="zh-CN" w:bidi="ar-SA"/>
                    </w:rPr>
                  </w:pPr>
                </w:p>
              </w:tc>
              <w:tc>
                <w:tcPr>
                  <w:tcW w:w="679" w:type="dxa"/>
                  <w:vMerge w:val="continue"/>
                </w:tcPr>
                <w:p w14:paraId="000FB400">
                  <w:pPr>
                    <w:widowControl w:val="0"/>
                    <w:rPr>
                      <w:rFonts w:hint="eastAsia" w:ascii="黑体" w:hAnsi="黑体" w:eastAsia="黑体" w:cs="黑体"/>
                      <w:b w:val="0"/>
                      <w:bCs/>
                      <w:kern w:val="2"/>
                      <w:sz w:val="21"/>
                      <w:szCs w:val="22"/>
                      <w:lang w:val="en-US" w:eastAsia="zh-CN" w:bidi="ar-SA"/>
                    </w:rPr>
                  </w:pPr>
                </w:p>
              </w:tc>
              <w:tc>
                <w:tcPr>
                  <w:tcW w:w="4306" w:type="dxa"/>
                  <w:gridSpan w:val="2"/>
                  <w:vAlign w:val="center"/>
                </w:tcPr>
                <w:p w14:paraId="3DD3D8C5">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机器人移动过程中速度与转弯半径符合要求</w:t>
                  </w:r>
                </w:p>
              </w:tc>
              <w:tc>
                <w:tcPr>
                  <w:tcW w:w="656" w:type="dxa"/>
                  <w:vAlign w:val="center"/>
                </w:tcPr>
                <w:p w14:paraId="3D999812">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10</w:t>
                  </w:r>
                </w:p>
              </w:tc>
              <w:tc>
                <w:tcPr>
                  <w:tcW w:w="795" w:type="dxa"/>
                  <w:vAlign w:val="top"/>
                </w:tcPr>
                <w:p w14:paraId="36BDE4BA">
                  <w:pPr>
                    <w:widowControl w:val="0"/>
                    <w:rPr>
                      <w:rFonts w:hint="eastAsia" w:ascii="黑体" w:hAnsi="黑体" w:eastAsia="黑体" w:cs="黑体"/>
                      <w:b w:val="0"/>
                      <w:bCs/>
                      <w:kern w:val="2"/>
                      <w:sz w:val="21"/>
                      <w:szCs w:val="22"/>
                      <w:lang w:val="en-US" w:eastAsia="zh-CN" w:bidi="ar-SA"/>
                    </w:rPr>
                  </w:pPr>
                </w:p>
              </w:tc>
              <w:tc>
                <w:tcPr>
                  <w:tcW w:w="1130" w:type="dxa"/>
                  <w:vMerge w:val="continue"/>
                </w:tcPr>
                <w:p w14:paraId="186499FC">
                  <w:pPr>
                    <w:widowControl w:val="0"/>
                    <w:rPr>
                      <w:rFonts w:hint="eastAsia" w:ascii="黑体" w:hAnsi="黑体" w:eastAsia="黑体" w:cs="黑体"/>
                      <w:b w:val="0"/>
                      <w:bCs/>
                      <w:kern w:val="2"/>
                      <w:sz w:val="21"/>
                      <w:szCs w:val="22"/>
                      <w:lang w:val="en-US" w:eastAsia="zh-CN" w:bidi="ar-SA"/>
                    </w:rPr>
                  </w:pPr>
                </w:p>
              </w:tc>
            </w:tr>
            <w:tr w14:paraId="2D1F4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tcPr>
                <w:p w14:paraId="584CA631">
                  <w:pPr>
                    <w:widowControl w:val="0"/>
                    <w:rPr>
                      <w:rFonts w:hint="eastAsia" w:ascii="黑体" w:hAnsi="黑体" w:eastAsia="黑体" w:cs="黑体"/>
                      <w:b w:val="0"/>
                      <w:bCs/>
                      <w:kern w:val="2"/>
                      <w:sz w:val="21"/>
                      <w:szCs w:val="22"/>
                      <w:lang w:val="en-US" w:eastAsia="zh-CN" w:bidi="ar-SA"/>
                    </w:rPr>
                  </w:pPr>
                </w:p>
              </w:tc>
              <w:tc>
                <w:tcPr>
                  <w:tcW w:w="679" w:type="dxa"/>
                  <w:vMerge w:val="continue"/>
                </w:tcPr>
                <w:p w14:paraId="2B4EA58D">
                  <w:pPr>
                    <w:widowControl w:val="0"/>
                    <w:rPr>
                      <w:rFonts w:hint="eastAsia" w:ascii="黑体" w:hAnsi="黑体" w:eastAsia="黑体" w:cs="黑体"/>
                      <w:b w:val="0"/>
                      <w:bCs/>
                      <w:kern w:val="2"/>
                      <w:sz w:val="21"/>
                      <w:szCs w:val="22"/>
                      <w:lang w:val="en-US" w:eastAsia="zh-CN" w:bidi="ar-SA"/>
                    </w:rPr>
                  </w:pPr>
                </w:p>
              </w:tc>
              <w:tc>
                <w:tcPr>
                  <w:tcW w:w="4306" w:type="dxa"/>
                  <w:gridSpan w:val="2"/>
                  <w:vAlign w:val="center"/>
                </w:tcPr>
                <w:p w14:paraId="4B9361BD">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机器人运行过程中未发生碰撞</w:t>
                  </w:r>
                </w:p>
              </w:tc>
              <w:tc>
                <w:tcPr>
                  <w:tcW w:w="656" w:type="dxa"/>
                  <w:vAlign w:val="center"/>
                </w:tcPr>
                <w:p w14:paraId="66F00B45">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10</w:t>
                  </w:r>
                </w:p>
              </w:tc>
              <w:tc>
                <w:tcPr>
                  <w:tcW w:w="795" w:type="dxa"/>
                  <w:vAlign w:val="top"/>
                </w:tcPr>
                <w:p w14:paraId="144F13F9">
                  <w:pPr>
                    <w:widowControl w:val="0"/>
                    <w:rPr>
                      <w:rFonts w:hint="eastAsia" w:ascii="黑体" w:hAnsi="黑体" w:eastAsia="黑体" w:cs="黑体"/>
                      <w:b w:val="0"/>
                      <w:bCs/>
                      <w:kern w:val="2"/>
                      <w:sz w:val="21"/>
                      <w:szCs w:val="22"/>
                      <w:lang w:val="en-US" w:eastAsia="zh-CN" w:bidi="ar-SA"/>
                    </w:rPr>
                  </w:pPr>
                </w:p>
              </w:tc>
              <w:tc>
                <w:tcPr>
                  <w:tcW w:w="1130" w:type="dxa"/>
                  <w:vMerge w:val="continue"/>
                </w:tcPr>
                <w:p w14:paraId="64ACE7BD">
                  <w:pPr>
                    <w:widowControl w:val="0"/>
                    <w:rPr>
                      <w:rFonts w:hint="eastAsia" w:ascii="黑体" w:hAnsi="黑体" w:eastAsia="黑体" w:cs="黑体"/>
                      <w:b w:val="0"/>
                      <w:bCs/>
                      <w:kern w:val="2"/>
                      <w:sz w:val="21"/>
                      <w:szCs w:val="22"/>
                      <w:lang w:val="en-US" w:eastAsia="zh-CN" w:bidi="ar-SA"/>
                    </w:rPr>
                  </w:pPr>
                </w:p>
              </w:tc>
            </w:tr>
            <w:tr w14:paraId="5741B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tcPr>
                <w:p w14:paraId="15F25A56">
                  <w:pPr>
                    <w:widowControl w:val="0"/>
                    <w:rPr>
                      <w:rFonts w:hint="eastAsia" w:ascii="黑体" w:hAnsi="黑体" w:eastAsia="黑体" w:cs="黑体"/>
                      <w:b w:val="0"/>
                      <w:bCs/>
                      <w:kern w:val="2"/>
                      <w:sz w:val="21"/>
                      <w:szCs w:val="22"/>
                      <w:lang w:val="en-US" w:eastAsia="zh-CN" w:bidi="ar-SA"/>
                    </w:rPr>
                  </w:pPr>
                </w:p>
              </w:tc>
              <w:tc>
                <w:tcPr>
                  <w:tcW w:w="679" w:type="dxa"/>
                  <w:vMerge w:val="continue"/>
                </w:tcPr>
                <w:p w14:paraId="35A42EB3">
                  <w:pPr>
                    <w:widowControl w:val="0"/>
                    <w:rPr>
                      <w:rFonts w:hint="eastAsia" w:ascii="黑体" w:hAnsi="黑体" w:eastAsia="黑体" w:cs="黑体"/>
                      <w:b w:val="0"/>
                      <w:bCs/>
                      <w:kern w:val="2"/>
                      <w:sz w:val="21"/>
                      <w:szCs w:val="22"/>
                      <w:lang w:val="en-US" w:eastAsia="zh-CN" w:bidi="ar-SA"/>
                    </w:rPr>
                  </w:pPr>
                </w:p>
              </w:tc>
              <w:tc>
                <w:tcPr>
                  <w:tcW w:w="4306" w:type="dxa"/>
                  <w:gridSpan w:val="2"/>
                  <w:vAlign w:val="center"/>
                </w:tcPr>
                <w:p w14:paraId="411E9294">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机器人能够按照要求回到原点</w:t>
                  </w:r>
                </w:p>
              </w:tc>
              <w:tc>
                <w:tcPr>
                  <w:tcW w:w="656" w:type="dxa"/>
                  <w:vAlign w:val="center"/>
                </w:tcPr>
                <w:p w14:paraId="3AF1FA5E">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10</w:t>
                  </w:r>
                </w:p>
              </w:tc>
              <w:tc>
                <w:tcPr>
                  <w:tcW w:w="795" w:type="dxa"/>
                  <w:vAlign w:val="top"/>
                </w:tcPr>
                <w:p w14:paraId="4AD4C2BB">
                  <w:pPr>
                    <w:widowControl w:val="0"/>
                    <w:rPr>
                      <w:rFonts w:hint="eastAsia" w:ascii="黑体" w:hAnsi="黑体" w:eastAsia="黑体" w:cs="黑体"/>
                      <w:b w:val="0"/>
                      <w:bCs/>
                      <w:kern w:val="2"/>
                      <w:sz w:val="21"/>
                      <w:szCs w:val="22"/>
                      <w:lang w:val="en-US" w:eastAsia="zh-CN" w:bidi="ar-SA"/>
                    </w:rPr>
                  </w:pPr>
                </w:p>
              </w:tc>
              <w:tc>
                <w:tcPr>
                  <w:tcW w:w="1130" w:type="dxa"/>
                  <w:vMerge w:val="continue"/>
                </w:tcPr>
                <w:p w14:paraId="56E19801">
                  <w:pPr>
                    <w:widowControl w:val="0"/>
                    <w:rPr>
                      <w:rFonts w:hint="eastAsia" w:ascii="黑体" w:hAnsi="黑体" w:eastAsia="黑体" w:cs="黑体"/>
                      <w:b w:val="0"/>
                      <w:bCs/>
                      <w:kern w:val="2"/>
                      <w:sz w:val="21"/>
                      <w:szCs w:val="22"/>
                      <w:lang w:val="en-US" w:eastAsia="zh-CN" w:bidi="ar-SA"/>
                    </w:rPr>
                  </w:pPr>
                </w:p>
              </w:tc>
            </w:tr>
            <w:tr w14:paraId="7BB22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shd w:val="clear" w:color="auto" w:fill="D7D7D7" w:themeFill="background1" w:themeFillShade="D8"/>
                  <w:vAlign w:val="center"/>
                </w:tcPr>
                <w:p w14:paraId="4A98B61F">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考核</w:t>
                  </w:r>
                </w:p>
                <w:p w14:paraId="00C9D816">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主体</w:t>
                  </w:r>
                </w:p>
              </w:tc>
              <w:tc>
                <w:tcPr>
                  <w:tcW w:w="679" w:type="dxa"/>
                  <w:shd w:val="clear" w:color="auto" w:fill="D7D7D7" w:themeFill="background1" w:themeFillShade="D8"/>
                  <w:vAlign w:val="center"/>
                </w:tcPr>
                <w:p w14:paraId="69E5240E">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分值</w:t>
                  </w:r>
                </w:p>
              </w:tc>
              <w:tc>
                <w:tcPr>
                  <w:tcW w:w="921" w:type="dxa"/>
                  <w:shd w:val="clear" w:color="auto" w:fill="D7D7D7" w:themeFill="background1" w:themeFillShade="D8"/>
                  <w:vAlign w:val="center"/>
                </w:tcPr>
                <w:p w14:paraId="0EB7F741">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得分</w:t>
                  </w:r>
                </w:p>
              </w:tc>
              <w:tc>
                <w:tcPr>
                  <w:tcW w:w="3385" w:type="dxa"/>
                  <w:shd w:val="clear" w:color="auto" w:fill="D7D7D7" w:themeFill="background1" w:themeFillShade="D8"/>
                  <w:vAlign w:val="center"/>
                </w:tcPr>
                <w:p w14:paraId="2738DD9A">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存在的问题</w:t>
                  </w:r>
                </w:p>
              </w:tc>
              <w:tc>
                <w:tcPr>
                  <w:tcW w:w="2581" w:type="dxa"/>
                  <w:gridSpan w:val="3"/>
                  <w:shd w:val="clear" w:color="auto" w:fill="D7D7D7" w:themeFill="background1" w:themeFillShade="D8"/>
                  <w:vAlign w:val="center"/>
                </w:tcPr>
                <w:p w14:paraId="28FE0C55">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解决办法</w:t>
                  </w:r>
                </w:p>
              </w:tc>
            </w:tr>
            <w:tr w14:paraId="69678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Align w:val="center"/>
                </w:tcPr>
                <w:p w14:paraId="3E9B8F4A">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指导教师评价</w:t>
                  </w:r>
                </w:p>
              </w:tc>
              <w:tc>
                <w:tcPr>
                  <w:tcW w:w="679" w:type="dxa"/>
                  <w:vAlign w:val="center"/>
                </w:tcPr>
                <w:p w14:paraId="0FB1A4BD">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100</w:t>
                  </w:r>
                </w:p>
              </w:tc>
              <w:tc>
                <w:tcPr>
                  <w:tcW w:w="921" w:type="dxa"/>
                </w:tcPr>
                <w:p w14:paraId="6E7B6A68">
                  <w:pPr>
                    <w:widowControl w:val="0"/>
                    <w:rPr>
                      <w:rFonts w:hint="eastAsia" w:ascii="黑体" w:hAnsi="黑体" w:eastAsia="黑体" w:cs="黑体"/>
                      <w:b w:val="0"/>
                      <w:bCs/>
                      <w:kern w:val="2"/>
                      <w:sz w:val="21"/>
                      <w:szCs w:val="22"/>
                      <w:lang w:val="en-US" w:eastAsia="zh-CN" w:bidi="ar-SA"/>
                    </w:rPr>
                  </w:pPr>
                </w:p>
              </w:tc>
              <w:tc>
                <w:tcPr>
                  <w:tcW w:w="3385" w:type="dxa"/>
                </w:tcPr>
                <w:p w14:paraId="254A075C">
                  <w:pPr>
                    <w:widowControl w:val="0"/>
                    <w:rPr>
                      <w:rFonts w:hint="eastAsia" w:ascii="黑体" w:hAnsi="黑体" w:eastAsia="黑体" w:cs="黑体"/>
                      <w:b w:val="0"/>
                      <w:bCs/>
                      <w:kern w:val="2"/>
                      <w:sz w:val="21"/>
                      <w:szCs w:val="22"/>
                      <w:lang w:val="en-US" w:eastAsia="zh-CN" w:bidi="ar-SA"/>
                    </w:rPr>
                  </w:pPr>
                </w:p>
              </w:tc>
              <w:tc>
                <w:tcPr>
                  <w:tcW w:w="2581" w:type="dxa"/>
                  <w:gridSpan w:val="3"/>
                  <w:vAlign w:val="top"/>
                </w:tcPr>
                <w:p w14:paraId="01FA6527">
                  <w:pPr>
                    <w:widowControl w:val="0"/>
                    <w:rPr>
                      <w:rFonts w:hint="eastAsia" w:ascii="黑体" w:hAnsi="黑体" w:eastAsia="黑体" w:cs="黑体"/>
                      <w:b w:val="0"/>
                      <w:bCs/>
                      <w:kern w:val="2"/>
                      <w:sz w:val="21"/>
                      <w:szCs w:val="22"/>
                      <w:lang w:val="en-US" w:eastAsia="zh-CN" w:bidi="ar-SA"/>
                    </w:rPr>
                  </w:pPr>
                </w:p>
              </w:tc>
            </w:tr>
            <w:tr w14:paraId="5192B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Align w:val="center"/>
                </w:tcPr>
                <w:p w14:paraId="6CDCFD59">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企业教师评价</w:t>
                  </w:r>
                </w:p>
              </w:tc>
              <w:tc>
                <w:tcPr>
                  <w:tcW w:w="679" w:type="dxa"/>
                  <w:vAlign w:val="center"/>
                </w:tcPr>
                <w:p w14:paraId="59AB5A40">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100</w:t>
                  </w:r>
                </w:p>
              </w:tc>
              <w:tc>
                <w:tcPr>
                  <w:tcW w:w="921" w:type="dxa"/>
                </w:tcPr>
                <w:p w14:paraId="1F1C68CF">
                  <w:pPr>
                    <w:widowControl w:val="0"/>
                    <w:rPr>
                      <w:rFonts w:hint="eastAsia" w:ascii="黑体" w:hAnsi="黑体" w:eastAsia="黑体" w:cs="黑体"/>
                      <w:b w:val="0"/>
                      <w:bCs/>
                      <w:kern w:val="2"/>
                      <w:sz w:val="21"/>
                      <w:szCs w:val="22"/>
                      <w:lang w:val="en-US" w:eastAsia="zh-CN" w:bidi="ar-SA"/>
                    </w:rPr>
                  </w:pPr>
                </w:p>
              </w:tc>
              <w:tc>
                <w:tcPr>
                  <w:tcW w:w="3385" w:type="dxa"/>
                </w:tcPr>
                <w:p w14:paraId="638F64EC">
                  <w:pPr>
                    <w:widowControl w:val="0"/>
                    <w:rPr>
                      <w:rFonts w:hint="eastAsia" w:ascii="黑体" w:hAnsi="黑体" w:eastAsia="黑体" w:cs="黑体"/>
                      <w:b w:val="0"/>
                      <w:bCs/>
                      <w:kern w:val="2"/>
                      <w:sz w:val="21"/>
                      <w:szCs w:val="22"/>
                      <w:lang w:val="en-US" w:eastAsia="zh-CN" w:bidi="ar-SA"/>
                    </w:rPr>
                  </w:pPr>
                </w:p>
              </w:tc>
              <w:tc>
                <w:tcPr>
                  <w:tcW w:w="2581" w:type="dxa"/>
                  <w:gridSpan w:val="3"/>
                  <w:vAlign w:val="top"/>
                </w:tcPr>
                <w:p w14:paraId="356457E8">
                  <w:pPr>
                    <w:widowControl w:val="0"/>
                    <w:rPr>
                      <w:rFonts w:hint="eastAsia" w:ascii="黑体" w:hAnsi="黑体" w:eastAsia="黑体" w:cs="黑体"/>
                      <w:b w:val="0"/>
                      <w:bCs/>
                      <w:kern w:val="2"/>
                      <w:sz w:val="21"/>
                      <w:szCs w:val="22"/>
                      <w:lang w:val="en-US" w:eastAsia="zh-CN" w:bidi="ar-SA"/>
                    </w:rPr>
                  </w:pPr>
                </w:p>
              </w:tc>
            </w:tr>
            <w:tr w14:paraId="1D4E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Align w:val="center"/>
                </w:tcPr>
                <w:p w14:paraId="464B4642">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小组互评</w:t>
                  </w:r>
                </w:p>
              </w:tc>
              <w:tc>
                <w:tcPr>
                  <w:tcW w:w="679" w:type="dxa"/>
                  <w:vAlign w:val="center"/>
                </w:tcPr>
                <w:p w14:paraId="19BAA997">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100</w:t>
                  </w:r>
                </w:p>
              </w:tc>
              <w:tc>
                <w:tcPr>
                  <w:tcW w:w="921" w:type="dxa"/>
                </w:tcPr>
                <w:p w14:paraId="16E6C9D9">
                  <w:pPr>
                    <w:widowControl w:val="0"/>
                    <w:rPr>
                      <w:rFonts w:hint="eastAsia" w:ascii="黑体" w:hAnsi="黑体" w:eastAsia="黑体" w:cs="黑体"/>
                      <w:b w:val="0"/>
                      <w:bCs/>
                      <w:kern w:val="2"/>
                      <w:sz w:val="21"/>
                      <w:szCs w:val="22"/>
                      <w:lang w:val="en-US" w:eastAsia="zh-CN" w:bidi="ar-SA"/>
                    </w:rPr>
                  </w:pPr>
                </w:p>
              </w:tc>
              <w:tc>
                <w:tcPr>
                  <w:tcW w:w="3385" w:type="dxa"/>
                </w:tcPr>
                <w:p w14:paraId="10EC1C79">
                  <w:pPr>
                    <w:widowControl w:val="0"/>
                    <w:rPr>
                      <w:rFonts w:hint="eastAsia" w:ascii="黑体" w:hAnsi="黑体" w:eastAsia="黑体" w:cs="黑体"/>
                      <w:b w:val="0"/>
                      <w:bCs/>
                      <w:kern w:val="2"/>
                      <w:sz w:val="21"/>
                      <w:szCs w:val="22"/>
                      <w:lang w:val="en-US" w:eastAsia="zh-CN" w:bidi="ar-SA"/>
                    </w:rPr>
                  </w:pPr>
                </w:p>
              </w:tc>
              <w:tc>
                <w:tcPr>
                  <w:tcW w:w="2581" w:type="dxa"/>
                  <w:gridSpan w:val="3"/>
                </w:tcPr>
                <w:p w14:paraId="736C8D85">
                  <w:pPr>
                    <w:widowControl w:val="0"/>
                    <w:rPr>
                      <w:rFonts w:hint="eastAsia" w:ascii="黑体" w:hAnsi="黑体" w:eastAsia="黑体" w:cs="黑体"/>
                      <w:b w:val="0"/>
                      <w:bCs/>
                      <w:kern w:val="2"/>
                      <w:sz w:val="21"/>
                      <w:szCs w:val="22"/>
                      <w:lang w:val="en-US" w:eastAsia="zh-CN" w:bidi="ar-SA"/>
                    </w:rPr>
                  </w:pPr>
                </w:p>
              </w:tc>
            </w:tr>
            <w:tr w14:paraId="5DBD8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Align w:val="center"/>
                </w:tcPr>
                <w:p w14:paraId="0AA529F0">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自评成绩</w:t>
                  </w:r>
                </w:p>
              </w:tc>
              <w:tc>
                <w:tcPr>
                  <w:tcW w:w="679" w:type="dxa"/>
                  <w:vAlign w:val="center"/>
                </w:tcPr>
                <w:p w14:paraId="699609AB">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100</w:t>
                  </w:r>
                </w:p>
              </w:tc>
              <w:tc>
                <w:tcPr>
                  <w:tcW w:w="921" w:type="dxa"/>
                </w:tcPr>
                <w:p w14:paraId="40DD3DF3">
                  <w:pPr>
                    <w:widowControl w:val="0"/>
                    <w:rPr>
                      <w:rFonts w:hint="eastAsia" w:ascii="黑体" w:hAnsi="黑体" w:eastAsia="黑体" w:cs="黑体"/>
                      <w:b w:val="0"/>
                      <w:bCs/>
                      <w:kern w:val="2"/>
                      <w:sz w:val="21"/>
                      <w:szCs w:val="22"/>
                      <w:lang w:val="en-US" w:eastAsia="zh-CN" w:bidi="ar-SA"/>
                    </w:rPr>
                  </w:pPr>
                </w:p>
              </w:tc>
              <w:tc>
                <w:tcPr>
                  <w:tcW w:w="3385" w:type="dxa"/>
                </w:tcPr>
                <w:p w14:paraId="68F75F06">
                  <w:pPr>
                    <w:widowControl w:val="0"/>
                    <w:rPr>
                      <w:rFonts w:hint="eastAsia" w:ascii="黑体" w:hAnsi="黑体" w:eastAsia="黑体" w:cs="黑体"/>
                      <w:b w:val="0"/>
                      <w:bCs/>
                      <w:kern w:val="2"/>
                      <w:sz w:val="21"/>
                      <w:szCs w:val="22"/>
                      <w:lang w:val="en-US" w:eastAsia="zh-CN" w:bidi="ar-SA"/>
                    </w:rPr>
                  </w:pPr>
                </w:p>
              </w:tc>
              <w:tc>
                <w:tcPr>
                  <w:tcW w:w="2581" w:type="dxa"/>
                  <w:gridSpan w:val="3"/>
                </w:tcPr>
                <w:p w14:paraId="67E42B02">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增量评价（10~20分）：</w:t>
                  </w:r>
                </w:p>
              </w:tc>
            </w:tr>
            <w:tr w14:paraId="5A282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Align w:val="center"/>
                </w:tcPr>
                <w:p w14:paraId="686F267C">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总评</w:t>
                  </w:r>
                </w:p>
              </w:tc>
              <w:tc>
                <w:tcPr>
                  <w:tcW w:w="679" w:type="dxa"/>
                  <w:vAlign w:val="center"/>
                </w:tcPr>
                <w:p w14:paraId="0294120D">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100</w:t>
                  </w:r>
                </w:p>
              </w:tc>
              <w:tc>
                <w:tcPr>
                  <w:tcW w:w="921" w:type="dxa"/>
                </w:tcPr>
                <w:p w14:paraId="69EF7415">
                  <w:pPr>
                    <w:widowControl w:val="0"/>
                    <w:rPr>
                      <w:rFonts w:hint="eastAsia" w:ascii="黑体" w:hAnsi="黑体" w:eastAsia="黑体" w:cs="黑体"/>
                      <w:b w:val="0"/>
                      <w:bCs/>
                      <w:kern w:val="2"/>
                      <w:sz w:val="21"/>
                      <w:szCs w:val="22"/>
                      <w:lang w:val="en-US" w:eastAsia="zh-CN" w:bidi="ar-SA"/>
                    </w:rPr>
                  </w:pPr>
                </w:p>
              </w:tc>
              <w:tc>
                <w:tcPr>
                  <w:tcW w:w="3385" w:type="dxa"/>
                </w:tcPr>
                <w:p w14:paraId="09411147">
                  <w:pPr>
                    <w:widowControl w:val="0"/>
                    <w:rPr>
                      <w:rFonts w:hint="eastAsia" w:ascii="黑体" w:hAnsi="黑体" w:eastAsia="黑体" w:cs="黑体"/>
                      <w:b w:val="0"/>
                      <w:bCs/>
                      <w:kern w:val="2"/>
                      <w:sz w:val="21"/>
                      <w:szCs w:val="22"/>
                      <w:lang w:val="en-US" w:eastAsia="zh-CN" w:bidi="ar-SA"/>
                    </w:rPr>
                  </w:pPr>
                </w:p>
              </w:tc>
              <w:tc>
                <w:tcPr>
                  <w:tcW w:w="2581" w:type="dxa"/>
                  <w:gridSpan w:val="3"/>
                </w:tcPr>
                <w:p w14:paraId="6908F95A">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总评分成绩=（指导）教师评价×35%+企业教师评价×35%+小组互评×15%+自评成绩×15%+增量评价</w:t>
                  </w:r>
                </w:p>
              </w:tc>
            </w:tr>
          </w:tbl>
          <w:p w14:paraId="23FBFDF2">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p>
        </w:tc>
      </w:tr>
      <w:tr w14:paraId="7E388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8" w:hRule="atLeast"/>
        </w:trPr>
        <w:tc>
          <w:tcPr>
            <w:tcW w:w="1354" w:type="dxa"/>
            <w:vAlign w:val="center"/>
          </w:tcPr>
          <w:p w14:paraId="72E74C18">
            <w:pPr>
              <w:jc w:val="left"/>
              <w:rPr>
                <w:rFonts w:hint="eastAsia" w:ascii="黑体" w:hAnsi="黑体" w:eastAsia="黑体" w:cs="黑体"/>
                <w:b w:val="0"/>
                <w:bCs/>
                <w:lang w:val="en-US" w:eastAsia="zh-CN"/>
              </w:rPr>
            </w:pPr>
            <w:r>
              <w:rPr>
                <w:rFonts w:hint="eastAsia" w:ascii="黑体" w:hAnsi="黑体" w:eastAsia="黑体" w:cs="黑体"/>
                <w:b w:val="0"/>
                <w:bCs/>
                <w:lang w:val="en-US" w:eastAsia="zh-CN"/>
              </w:rPr>
              <w:t>教学过程</w:t>
            </w:r>
          </w:p>
        </w:tc>
        <w:tc>
          <w:tcPr>
            <w:tcW w:w="8466" w:type="dxa"/>
            <w:gridSpan w:val="3"/>
            <w:vAlign w:val="center"/>
          </w:tcPr>
          <w:p w14:paraId="0394673A">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一、任务导入（2学时-90分钟）</w:t>
            </w:r>
          </w:p>
          <w:p w14:paraId="0BD0BA49">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1.情境引入（15分钟）</w:t>
            </w:r>
          </w:p>
          <w:p w14:paraId="59CCEB32">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播放一段包含多种产品分拣场景的工业生产视频，如电子产品制造车间中，工业机器人通过视觉检测快速准确地将不同型号的芯片分拣到对应的料盒；食品加工厂里，机器人对不同品质的水果进行分拣。播放结束后，引导学生观察并思考工业机器人在分拣过程中是如何快速且准确地识别和抓取不同物品的。</w:t>
            </w:r>
          </w:p>
          <w:p w14:paraId="7E9A5D0C">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学生活动：认真观看视频，积极思考教师提出的问题，部分学生可主动分享自己在视频中观察到的机器人分拣特点。</w:t>
            </w:r>
          </w:p>
          <w:p w14:paraId="5A21842E">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2.任务布置（30分钟）</w:t>
            </w:r>
          </w:p>
          <w:p w14:paraId="06252E29">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展示本次任务的具体要求，设定一个模拟的电商仓库包裹分拣场景。要求学生利用工业机器人视觉检测系统，对传送带上不同形状、颜色和标签的包裹进行识别，并将其分拣到指定的区域。详细说明任务的关键指标，如分拣准确率需达到 95% 以上，每分钟至少分拣 10 个包裹等。同时，介绍此任务与实际工业生产中物流分拣环节的紧密联系，让学生明白任务的实际意义。</w:t>
            </w:r>
          </w:p>
          <w:p w14:paraId="456BA329">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仔细聆听任务内容，记录关键信息，如任务场景、分拣对象特征、任务指标等。对任务有初步认知后，思考完成任务可能面临的挑战，如如何准确识别不同特征的包裹、怎样控制机器人快速且精准地抓取和分拣等。</w:t>
            </w:r>
          </w:p>
          <w:p w14:paraId="595AEA87">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3.小组讨论（35分钟）</w:t>
            </w:r>
          </w:p>
          <w:p w14:paraId="623658FB">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教师活动：将学生分成若干小组，每组 4 - 5 人。鼓励学生围绕任务展开讨论，提示从机器人视觉检测的原理、分拣流程规划、可能用到的技术和工具等方面进行思考。在各小组讨论过程中，教师巡回观察，适时参与小组讨论，给予引导和启发，确保讨论方向的正确性。</w:t>
            </w:r>
          </w:p>
          <w:p w14:paraId="0AB698FD">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小组内成员积极交流想法，共同探讨完成任务的初步方案。例如，讨论如何利用颜色识别、形状识别或标签文字识别来区分包裹，以及机器人的运动路径规划等。每个小组安排一名记录员，记录讨论过程中的重要观点和遇到的问题。</w:t>
            </w:r>
          </w:p>
          <w:p w14:paraId="6E019D92">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4.总结引导（10分钟）</w:t>
            </w:r>
          </w:p>
          <w:p w14:paraId="7C184E64">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召集各小组代表发言，分享小组讨论的成果和遇到的疑问。对各小组的讨论情况进行总结，梳理出学生们普遍关注的问题，如视觉检测算法的选择、机器人与检测系统的协同工作等。强调这些问题将在后续的新知解析环节中逐步得到解决，激发学生对新知识的渴望。</w:t>
            </w:r>
          </w:p>
          <w:p w14:paraId="60A06B7E">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学生活动：认真倾听各小组发言和教师总结，对比自己小组与其他小组的思路，进一步明确自己的疑问和学习重点，为接下来的学习做好准备。</w:t>
            </w:r>
          </w:p>
          <w:p w14:paraId="1B469965">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二、新知解析（2学时-90分钟）</w:t>
            </w:r>
          </w:p>
          <w:p w14:paraId="543D0F4D">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1.工业机器人视觉检测基础（15分钟）</w:t>
            </w:r>
          </w:p>
          <w:p w14:paraId="1EA09196">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教师活动：运用 PPT 和动画，详细讲解工业机器人视觉检测系统的组成部分，包括工业相机、镜头、光源、图像采集卡以及图像处理软件等。结合实际案例，说明各部分的作用和相互关系，如光源如何为相机提供合适的照明条件以获取清晰图像，图像采集卡如何将相机采集的图像数据传输给计算机进行处理。同时，介绍视觉检测系统的工作原理，从图像采集、图像预处理、特征提取到目标识别的整个流程。</w:t>
            </w:r>
          </w:p>
          <w:p w14:paraId="40413455">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学生活动：认真观看 PPT 和动画演示，结合教师讲解，理解视觉检测系统的组成和原理。对于难以理解的部分，及时向教师提问，确保对基础知识的清晰掌握。</w:t>
            </w:r>
          </w:p>
          <w:p w14:paraId="741F4416">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2.图像处理与识别技术（30分钟）</w:t>
            </w:r>
          </w:p>
          <w:p w14:paraId="0BA02080">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深入讲解图像处理的基本算法，如灰度化、滤波、边缘检测等，通过实际图像的处理演示，让学生直观感受每种算法的效果和作用。介绍基于模板匹配、特征点匹配等常见的目标识别方法，分析它们的优缺点和适用场景。例如，对比模板匹配在简单形状目标识别中的优势以及在复杂场景下的局限性。同时，提及深度学习在图像识别中的应用现状和发展趋势，拓宽学生的知识面。</w:t>
            </w:r>
          </w:p>
          <w:p w14:paraId="753616A3">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观察教师的图像处理演示，思考不同算法在实际任务中的应用可能性。对于各种目标识别方法，结合之前的任务需求，分析哪种方法可能更适合包裹的识别。积极参与课堂互动，与教师和同学交流自己的想法。</w:t>
            </w:r>
          </w:p>
          <w:p w14:paraId="0E7B32AF">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3.工业机器人分拣编程基础（45分钟）</w:t>
            </w:r>
          </w:p>
          <w:p w14:paraId="5E0ED87A">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教师活动：介绍工业机器人常用的编程语言和编程环境，以本次任务可能使用的编程语言为例，讲解与机器人运动控制、I/O 控制相关的基本指令。通过简单的编程示例，演示如何控制机器人的关节运动、实现抓取和放置动作，以及如何与视觉检测系统进行数据交互，如获取视觉检测结果并根据结果执行相应的分拣动作。</w:t>
            </w:r>
          </w:p>
          <w:p w14:paraId="500A28D7">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学生活动：学习编程语言的基本指令和编程逻辑，跟随教师的示例理解机器人编程与视觉检测系统结合的方式。尝试在笔记本上记录关键指令和代码结构，为后续的编程实践做准备。</w:t>
            </w:r>
          </w:p>
          <w:p w14:paraId="747D73B8">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4.总结与答疑（10分钟）</w:t>
            </w:r>
          </w:p>
          <w:p w14:paraId="6A87FAE7">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对本次讲解的工业机器人视觉检测基础、图像处理与识别技术以及机器人分拣编程基础等知识进行系统总结，强调重点和难点内容。鼓励学生提出在学习过程中遇到的疑问，耐心解答学生的问题，确保学生对新知识有全面、深入的理解。</w:t>
            </w:r>
          </w:p>
          <w:p w14:paraId="6B947254">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学生活动：回顾所学知识，整理笔记，将自己的疑问向教师提出。在教师解答后，进一步完善自己的知识体系，加深对知识的理解和记忆。</w:t>
            </w:r>
          </w:p>
          <w:p w14:paraId="66E34C34">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三、任务实施（4学时-1800分钟）</w:t>
            </w:r>
          </w:p>
          <w:p w14:paraId="3944EAD7">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1.方案细化（30分钟）</w:t>
            </w:r>
          </w:p>
          <w:p w14:paraId="1DF63912">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再次明确任务要求，引导各小组根据新知解析的内容，对之前讨论的任务方案进行细化。提示学生从视觉检测算法的具体选择、机器人运动轨迹的精确规划、系统参数的合理设置等方面进行完善。在各小组讨论过程中，教师巡视指导，对遇到困难的小组提供针对性的建议和帮助。</w:t>
            </w:r>
          </w:p>
          <w:p w14:paraId="6E515FC6">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小组内成员结合新知识，深入讨论并细化任务方案。例如，确定采用基于颜色和形状特征相结合的目标识别算法，详细规划机器人在不同位置的运动速度和路径，以及设置视觉检测系统的相关参数，如相机的曝光时间、分辨率等。将细化后的方案以书面形式整理出来，包括系统流程图、关键参数表等。</w:t>
            </w:r>
          </w:p>
          <w:p w14:paraId="1049A09F">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2.编程实现（90分钟）</w:t>
            </w:r>
          </w:p>
          <w:p w14:paraId="18D9B060">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学生开始编程后，教师密切关注各小组的编程进展。对编程过程中遇到困难的学生或小组，及时给予技术支持，如帮助解决编程语法错误、逻辑错误，指导如何实现视觉检测与机器人动作的协同控制等。鼓励学生在编程过程中注重代码的规范性和可读性，合理添加注释，方便后续调试和维护。</w:t>
            </w:r>
          </w:p>
          <w:p w14:paraId="2B92AC14">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按照小组细化后的方案，分工协作进行编程。利用所学的编程语言和指令，实现机器人根据视觉检测结果对包裹进行分拣的功能。在编程过程中，小组成员相互交流、检查代码，及时发现并解决问题。对编写好的程序进行初步调试，观察机器人的动作和视觉检测结果，记录出现的异常情况。</w:t>
            </w:r>
          </w:p>
          <w:p w14:paraId="1250C6F7">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3.系统调试（30分钟）</w:t>
            </w:r>
          </w:p>
          <w:p w14:paraId="1A530586">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指导学生进行系统调试，包括硬件设备的连接与调试，如工业相机的安装与校准、机器人与传送带的位置调整等，以及软件系统的调试，如视觉检测算法的参数优化、机器人运动控制程序的微调等。提醒学生在调试过程中注意观察系统的运行状态，分析出现问题的原因，如机器人抓取位置不准确可能是视觉检测坐标与机器人坐标未校准，或者是运动控制参数设置不合理。对学生在调试中遇到的共性问题，进行集中讲解和指导。</w:t>
            </w:r>
          </w:p>
          <w:p w14:paraId="47D21B81">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逐步进行硬件和软件的调试工作。仔细观察系统运行情况，记录调试过程中的参数变化和出现的问题，如相机采集的图像不清晰、机器人分拣动作失误等。针对问题，从硬件和软件两方面进行分析，尝试不同的解决方法，如调整相机参数、修改编程逻辑等。反复调试，直至系统能够较为稳定地运行，达到任务要求的分拣准确率和效率。</w:t>
            </w:r>
          </w:p>
          <w:p w14:paraId="61615D60">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4.成果展示与总结（30分钟）</w:t>
            </w:r>
          </w:p>
          <w:p w14:paraId="72B8CB23">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教师活动：各小组依次展示任务成果，每个小组有 10 - 15 分钟的展示时间，包括系统演示和方案讲解。教师和其他小组成员认真观看展示，记录各小组的优点和不足。展示结束后，教师对各小组的成果进行评价，从任务完成情况、技术应用合理性、创新点、团队协作等方面进行全面点评，肯定学生的努力和取得的成绩，同时指出存在的问题和改进方向。最后，对整个工业机器人视觉检测分拣作业的教学内容进行总结，强化学生对重点知识和技能的掌握。</w:t>
            </w:r>
          </w:p>
          <w:p w14:paraId="7DA894CA">
            <w:pPr>
              <w:ind w:firstLine="420" w:firstLineChars="200"/>
              <w:jc w:val="left"/>
            </w:pPr>
            <w:r>
              <w:rPr>
                <w:rFonts w:hint="eastAsia" w:ascii="黑体" w:hAnsi="黑体" w:eastAsia="黑体" w:cs="黑体"/>
                <w:b w:val="0"/>
                <w:bCs/>
                <w:kern w:val="2"/>
                <w:sz w:val="21"/>
                <w:szCs w:val="22"/>
                <w:lang w:val="en-US" w:eastAsia="zh-CN" w:bidi="ar-SA"/>
              </w:rPr>
              <w:t>学生活动：各小组代表进行成果展示，清晰地阐述任务方案、编程思路、调试过程以及最终的成果。在其他小组展示时，认真倾听和观察，学习他人的优点。接受教师的评价，反思自己小组在任务实施过程中的不足之处，记录教师提出的改进建议。通过本次成果展示与总结，进一步提升对工业机器人视觉检测分拣作业的理解和实践能力。</w:t>
            </w:r>
            <w:bookmarkStart w:id="2" w:name="_GoBack"/>
            <w:bookmarkEnd w:id="2"/>
          </w:p>
        </w:tc>
      </w:tr>
      <w:tr w14:paraId="007CC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354" w:type="dxa"/>
            <w:vAlign w:val="center"/>
          </w:tcPr>
          <w:p w14:paraId="57DAF66D">
            <w:pPr>
              <w:jc w:val="left"/>
              <w:rPr>
                <w:rFonts w:hint="eastAsia" w:ascii="黑体" w:hAnsi="黑体" w:eastAsia="黑体" w:cs="黑体"/>
                <w:b w:val="0"/>
                <w:bCs/>
                <w:lang w:val="en-US" w:eastAsia="zh-CN"/>
              </w:rPr>
            </w:pPr>
            <w:r>
              <w:rPr>
                <w:rFonts w:hint="eastAsia" w:ascii="黑体" w:hAnsi="黑体" w:eastAsia="黑体" w:cs="黑体"/>
                <w:b w:val="0"/>
                <w:bCs/>
                <w:lang w:val="en-US" w:eastAsia="zh-CN"/>
              </w:rPr>
              <w:t>课后作业</w:t>
            </w:r>
          </w:p>
          <w:p w14:paraId="5B74EA11">
            <w:pPr>
              <w:jc w:val="left"/>
              <w:rPr>
                <w:rFonts w:hint="eastAsia" w:ascii="黑体" w:hAnsi="黑体" w:eastAsia="黑体" w:cs="黑体"/>
                <w:b w:val="0"/>
                <w:bCs/>
                <w:lang w:val="en-US" w:eastAsia="zh-CN"/>
              </w:rPr>
            </w:pPr>
            <w:r>
              <w:rPr>
                <w:rFonts w:hint="eastAsia" w:ascii="黑体" w:hAnsi="黑体" w:eastAsia="黑体" w:cs="黑体"/>
                <w:b w:val="0"/>
                <w:bCs/>
                <w:lang w:val="en-US" w:eastAsia="zh-CN"/>
              </w:rPr>
              <w:t>与评价</w:t>
            </w:r>
          </w:p>
        </w:tc>
        <w:tc>
          <w:tcPr>
            <w:tcW w:w="8466" w:type="dxa"/>
            <w:gridSpan w:val="3"/>
            <w:vAlign w:val="center"/>
          </w:tcPr>
          <w:p w14:paraId="4B35D828">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一、作业任务</w:t>
            </w:r>
          </w:p>
          <w:p w14:paraId="3B8BBCC4">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bCs w:val="0"/>
                <w:kern w:val="2"/>
                <w:sz w:val="21"/>
                <w:szCs w:val="22"/>
                <w:lang w:val="en-US" w:eastAsia="zh-CN" w:bidi="ar-SA"/>
              </w:rPr>
              <w:t>1.理论知识巩固作业（必做，占总成绩 30%</w:t>
            </w:r>
            <w:r>
              <w:rPr>
                <w:rFonts w:hint="eastAsia" w:ascii="黑体" w:hAnsi="黑体" w:eastAsia="黑体" w:cs="黑体"/>
                <w:b w:val="0"/>
                <w:bCs/>
                <w:kern w:val="2"/>
                <w:sz w:val="21"/>
                <w:szCs w:val="22"/>
                <w:lang w:val="en-US" w:eastAsia="zh-CN" w:bidi="ar-SA"/>
              </w:rPr>
              <w:t>）</w:t>
            </w:r>
          </w:p>
          <w:p w14:paraId="5C3817A4">
            <w:pPr>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任务内容：课后习题。</w:t>
            </w:r>
          </w:p>
          <w:p w14:paraId="2ACA6669">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完成时间：课后一周内完成。</w:t>
            </w:r>
          </w:p>
          <w:p w14:paraId="55D19271">
            <w:pPr>
              <w:jc w:val="left"/>
              <w:rPr>
                <w:rFonts w:hint="eastAsia" w:ascii="黑体" w:hAnsi="黑体" w:eastAsia="黑体" w:cs="黑体"/>
                <w:b/>
                <w:bCs w:val="0"/>
                <w:kern w:val="2"/>
                <w:sz w:val="21"/>
                <w:szCs w:val="22"/>
                <w:lang w:val="en-US" w:eastAsia="zh-CN" w:bidi="ar-SA"/>
              </w:rPr>
            </w:pPr>
            <w:r>
              <w:rPr>
                <w:rFonts w:hint="eastAsia" w:ascii="黑体" w:hAnsi="黑体" w:eastAsia="黑体" w:cs="黑体"/>
                <w:b/>
                <w:bCs w:val="0"/>
                <w:kern w:val="2"/>
                <w:sz w:val="21"/>
                <w:szCs w:val="22"/>
                <w:lang w:val="en-US" w:eastAsia="zh-CN" w:bidi="ar-SA"/>
              </w:rPr>
              <w:t>2.实践操作拓展作业（必做，占总成绩 50%）</w:t>
            </w:r>
          </w:p>
          <w:p w14:paraId="64824B53">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任务内容：给定一个实际工业场景的模拟任务，要求学生以小组为单位（每组3-4人），利用视觉系统对轮毂进行分类，并使用工业机器人对轮毂进行分拣。同时，记录调试过程中的参数变化和遇到的问题及解决方法。</w:t>
            </w:r>
          </w:p>
          <w:p w14:paraId="781E1964">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完成时间：课后两周内完成，期间需安排一次小组讨论和中期检查，确保任务进度。</w:t>
            </w:r>
          </w:p>
          <w:p w14:paraId="180B6943">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二、考评安排</w:t>
            </w:r>
          </w:p>
          <w:p w14:paraId="26063175">
            <w:pPr>
              <w:jc w:val="left"/>
              <w:rPr>
                <w:rFonts w:hint="eastAsia" w:ascii="黑体" w:hAnsi="黑体" w:eastAsia="黑体" w:cs="黑体"/>
                <w:b/>
                <w:bCs w:val="0"/>
                <w:kern w:val="2"/>
                <w:sz w:val="21"/>
                <w:szCs w:val="22"/>
                <w:lang w:val="en-US" w:eastAsia="zh-CN" w:bidi="ar-SA"/>
              </w:rPr>
            </w:pPr>
            <w:r>
              <w:rPr>
                <w:rFonts w:hint="eastAsia" w:ascii="黑体" w:hAnsi="黑体" w:eastAsia="黑体" w:cs="黑体"/>
                <w:b/>
                <w:bCs w:val="0"/>
                <w:kern w:val="2"/>
                <w:sz w:val="21"/>
                <w:szCs w:val="22"/>
                <w:lang w:val="en-US" w:eastAsia="zh-CN" w:bidi="ar-SA"/>
              </w:rPr>
              <w:t>1.理论知识巩固作业考评</w:t>
            </w:r>
          </w:p>
          <w:p w14:paraId="54CB7214">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批改方式：教师统一批改，按照标准答案和评分细则进行打分。</w:t>
            </w:r>
          </w:p>
          <w:p w14:paraId="72FBEC3C">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评分标准：选择题、填空题主要考查基础知识的掌握，答案准确即可得分；简答题要求回答全面、逻辑清晰，根据要点完整性和阐述准确性打分；编程题根据程序的正确性、规范性、代码逻辑以及注释的完整性等方面进行评分。</w:t>
            </w:r>
          </w:p>
          <w:p w14:paraId="2782AB33">
            <w:pPr>
              <w:jc w:val="left"/>
              <w:rPr>
                <w:rFonts w:hint="eastAsia" w:ascii="黑体" w:hAnsi="黑体" w:eastAsia="黑体" w:cs="黑体"/>
                <w:b/>
                <w:bCs w:val="0"/>
                <w:kern w:val="2"/>
                <w:sz w:val="21"/>
                <w:szCs w:val="22"/>
                <w:lang w:val="en-US" w:eastAsia="zh-CN" w:bidi="ar-SA"/>
              </w:rPr>
            </w:pPr>
            <w:r>
              <w:rPr>
                <w:rFonts w:hint="eastAsia" w:ascii="黑体" w:hAnsi="黑体" w:eastAsia="黑体" w:cs="黑体"/>
                <w:b/>
                <w:bCs w:val="0"/>
                <w:kern w:val="2"/>
                <w:sz w:val="21"/>
                <w:szCs w:val="22"/>
                <w:lang w:val="en-US" w:eastAsia="zh-CN" w:bidi="ar-SA"/>
              </w:rPr>
              <w:t>2.实践操作拓展作业考评</w:t>
            </w:r>
          </w:p>
          <w:p w14:paraId="53DA592A">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考评方式：采用小组汇报展示和实际操作演示相结合的方式，由教师和其他小组同学共同参与评价。</w:t>
            </w:r>
          </w:p>
          <w:p w14:paraId="5C4AC008">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评分标准：</w:t>
            </w:r>
          </w:p>
          <w:p w14:paraId="3AB81D78">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任务完成情况（40%）：机器人是否能够准确、高效地完成模拟生产线上的抓取和放置任务，动作的精准度和效率是否达到一定标准。</w:t>
            </w:r>
          </w:p>
          <w:p w14:paraId="617C03A3">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伺服轴调试过程（30%）：调试过程中参数调整的合理性，对伺服轴特性的理解和运用能力，能否根据实际情况分析和解决调试过程中出现的问题，记录是否详细准确。</w:t>
            </w:r>
          </w:p>
          <w:p w14:paraId="445ADF1C">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团队协作与沟通（20%）：小组内成员分工是否合理，协作是否顺畅，在汇报展示中团队成员的参与度和沟通效果。</w:t>
            </w:r>
          </w:p>
          <w:p w14:paraId="72D1679F">
            <w:pPr>
              <w:jc w:val="left"/>
            </w:pPr>
            <w:r>
              <w:rPr>
                <w:rFonts w:hint="eastAsia" w:ascii="黑体" w:hAnsi="黑体" w:eastAsia="黑体" w:cs="黑体"/>
                <w:b w:val="0"/>
                <w:bCs/>
                <w:kern w:val="2"/>
                <w:sz w:val="21"/>
                <w:szCs w:val="22"/>
                <w:lang w:val="en-US" w:eastAsia="zh-CN" w:bidi="ar-SA"/>
              </w:rPr>
              <w:t>汇报展示效果（10%）：汇报内容是否清晰、有条理，能够准确展示任务完成过程、调试方法和结果，演示过程操作熟练、讲解清晰。</w:t>
            </w:r>
          </w:p>
        </w:tc>
      </w:tr>
      <w:tr w14:paraId="35EA6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354" w:type="dxa"/>
            <w:vAlign w:val="center"/>
          </w:tcPr>
          <w:p w14:paraId="6B7149D5">
            <w:pPr>
              <w:jc w:val="left"/>
              <w:rPr>
                <w:rFonts w:hint="eastAsia" w:ascii="黑体" w:hAnsi="黑体" w:eastAsia="黑体" w:cs="黑体"/>
                <w:b w:val="0"/>
                <w:bCs/>
                <w:lang w:val="en-US" w:eastAsia="zh-CN"/>
              </w:rPr>
            </w:pPr>
            <w:r>
              <w:rPr>
                <w:rFonts w:hint="eastAsia" w:ascii="黑体" w:hAnsi="黑体" w:eastAsia="黑体" w:cs="黑体"/>
                <w:b w:val="0"/>
                <w:bCs/>
                <w:lang w:val="en-US" w:eastAsia="zh-CN"/>
              </w:rPr>
              <w:t>总结与反思</w:t>
            </w:r>
          </w:p>
        </w:tc>
        <w:tc>
          <w:tcPr>
            <w:tcW w:w="8466" w:type="dxa"/>
            <w:gridSpan w:val="3"/>
            <w:vAlign w:val="center"/>
          </w:tcPr>
          <w:p w14:paraId="68AE392C">
            <w:pPr>
              <w:jc w:val="left"/>
            </w:pPr>
          </w:p>
        </w:tc>
      </w:tr>
    </w:tbl>
    <w:p w14:paraId="3B27280F"/>
    <w:sectPr>
      <w:pgSz w:w="11906" w:h="16838"/>
      <w:pgMar w:top="850" w:right="1134" w:bottom="85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 w:name="var(--s-font-xs-strong)">
    <w:altName w:val="SWAstro"/>
    <w:panose1 w:val="00000000000000000000"/>
    <w:charset w:val="00"/>
    <w:family w:val="auto"/>
    <w:pitch w:val="default"/>
    <w:sig w:usb0="00000000" w:usb1="00000000" w:usb2="00000000" w:usb3="00000000" w:csb0="00000000" w:csb1="00000000"/>
  </w:font>
  <w:font w:name="SWAstro">
    <w:panose1 w:val="02000400000000000000"/>
    <w:charset w:val="00"/>
    <w:family w:val="auto"/>
    <w:pitch w:val="default"/>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ViZDIyNjM5MWVkNWU2NWNhNzY2NTRiNWZkY2MyNTYifQ=="/>
  </w:docVars>
  <w:rsids>
    <w:rsidRoot w:val="00972C96"/>
    <w:rsid w:val="0005121D"/>
    <w:rsid w:val="00053647"/>
    <w:rsid w:val="0009074C"/>
    <w:rsid w:val="00217DE0"/>
    <w:rsid w:val="00343936"/>
    <w:rsid w:val="004246CF"/>
    <w:rsid w:val="005C57B4"/>
    <w:rsid w:val="005F0EE1"/>
    <w:rsid w:val="006F5C90"/>
    <w:rsid w:val="006F5F90"/>
    <w:rsid w:val="007B78FA"/>
    <w:rsid w:val="007E1B64"/>
    <w:rsid w:val="007F12D6"/>
    <w:rsid w:val="008070D6"/>
    <w:rsid w:val="00853906"/>
    <w:rsid w:val="008E003B"/>
    <w:rsid w:val="009544D0"/>
    <w:rsid w:val="00972C96"/>
    <w:rsid w:val="009C463E"/>
    <w:rsid w:val="00A43EDB"/>
    <w:rsid w:val="00BB18AD"/>
    <w:rsid w:val="00BE781F"/>
    <w:rsid w:val="00BF5616"/>
    <w:rsid w:val="00D46E22"/>
    <w:rsid w:val="00D87842"/>
    <w:rsid w:val="00D94CDA"/>
    <w:rsid w:val="00DA7FF4"/>
    <w:rsid w:val="00DC092B"/>
    <w:rsid w:val="00E31E24"/>
    <w:rsid w:val="00E45F73"/>
    <w:rsid w:val="00E811BE"/>
    <w:rsid w:val="00EA257B"/>
    <w:rsid w:val="03EF2B13"/>
    <w:rsid w:val="0BD460C1"/>
    <w:rsid w:val="0C356AA6"/>
    <w:rsid w:val="13554E9C"/>
    <w:rsid w:val="16BB1643"/>
    <w:rsid w:val="27484E85"/>
    <w:rsid w:val="3557659E"/>
    <w:rsid w:val="37ED7A3F"/>
    <w:rsid w:val="42402890"/>
    <w:rsid w:val="45031FD6"/>
    <w:rsid w:val="4CCA695C"/>
    <w:rsid w:val="58632B7A"/>
    <w:rsid w:val="5A844484"/>
    <w:rsid w:val="5AFE6E6B"/>
    <w:rsid w:val="5E3941D5"/>
    <w:rsid w:val="6DBD5C02"/>
    <w:rsid w:val="75FDA171"/>
    <w:rsid w:val="7FF7E065"/>
    <w:rsid w:val="BFFF10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semiHidden/>
    <w:qFormat/>
    <w:uiPriority w:val="0"/>
    <w:rPr>
      <w:rFonts w:ascii="仿宋" w:hAnsi="仿宋" w:eastAsia="仿宋" w:cs="仿宋"/>
      <w:sz w:val="20"/>
      <w:szCs w:val="20"/>
      <w:lang w:val="en-US" w:eastAsia="en-US" w:bidi="ar-SA"/>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rPr>
  </w:style>
  <w:style w:type="character" w:customStyle="1" w:styleId="12">
    <w:name w:val="页眉 字符"/>
    <w:basedOn w:val="10"/>
    <w:link w:val="6"/>
    <w:qFormat/>
    <w:uiPriority w:val="99"/>
    <w:rPr>
      <w:sz w:val="18"/>
      <w:szCs w:val="18"/>
    </w:rPr>
  </w:style>
  <w:style w:type="character" w:customStyle="1" w:styleId="13">
    <w:name w:val="页脚 字符"/>
    <w:basedOn w:val="10"/>
    <w:link w:val="5"/>
    <w:qFormat/>
    <w:uiPriority w:val="99"/>
    <w:rPr>
      <w:sz w:val="18"/>
      <w:szCs w:val="18"/>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5330</Words>
  <Characters>5462</Characters>
  <Lines>7</Lines>
  <Paragraphs>2</Paragraphs>
  <TotalTime>3</TotalTime>
  <ScaleCrop>false</ScaleCrop>
  <LinksUpToDate>false</LinksUpToDate>
  <CharactersWithSpaces>5493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2023-11-19T12:31:00Z</dcterms:created>
  <dc:creator>蒋建伟</dc:creator>
  <cp:lastModifiedBy>海滨</cp:lastModifiedBy>
  <dcterms:modified xsi:type="dcterms:W3CDTF">2025-01-25T10:39:20Z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5315785CAA6642DC824895F84AD04FD4_12</vt:lpwstr>
  </property>
  <property fmtid="{D5CDD505-2E9C-101B-9397-08002B2CF9AE}" pid="4" name="KSOTemplateDocerSaveRecord">
    <vt:lpwstr>eyJoZGlkIjoiYjg0NGY0ZWI2ODJkZTFjNDllZDEzZDRmNjYwZTQ2OTYiLCJ1c2VySWQiOiI1MjI2MDYyODYifQ==</vt:lpwstr>
  </property>
</Properties>
</file>