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6848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sz w:val="28"/>
          <w:szCs w:val="28"/>
        </w:rPr>
      </w:pPr>
      <w:r>
        <w:rPr>
          <w:rFonts w:hint="eastAsia" w:ascii="黑体" w:hAnsi="黑体" w:eastAsia="黑体" w:cs="黑体"/>
          <w:b w:val="0"/>
          <w:bCs/>
          <w:sz w:val="28"/>
          <w:szCs w:val="28"/>
        </w:rPr>
        <w:t>《工业机器人应用技术》教案</w:t>
      </w:r>
    </w:p>
    <w:p w14:paraId="7716CAAB">
      <w:pPr>
        <w:spacing w:line="240" w:lineRule="auto"/>
        <w:jc w:val="center"/>
        <w:rPr>
          <w:rFonts w:hint="eastAsia" w:asciiTheme="minorHAnsi" w:hAnsiTheme="minorHAnsi" w:eastAsiaTheme="minorEastAsia" w:cstheme="minorBidi"/>
          <w:snapToGrid/>
          <w:sz w:val="30"/>
          <w:szCs w:val="30"/>
          <w:highlight w:val="none"/>
          <w:lang w:eastAsia="zh-CN"/>
        </w:rPr>
      </w:pPr>
      <w:bookmarkStart w:id="0" w:name="_Toc12445"/>
      <w:bookmarkStart w:id="1" w:name="_Toc17880"/>
      <w:r>
        <w:rPr>
          <w:rFonts w:hint="eastAsia" w:asciiTheme="minorHAnsi" w:hAnsiTheme="minorHAnsi" w:eastAsiaTheme="minorEastAsia" w:cstheme="minorBidi"/>
          <w:snapToGrid/>
          <w:sz w:val="30"/>
          <w:szCs w:val="30"/>
          <w:highlight w:val="none"/>
          <w:lang w:eastAsia="zh-CN"/>
        </w:rPr>
        <w:t>项目</w:t>
      </w:r>
      <w:r>
        <w:rPr>
          <w:rFonts w:hint="eastAsia" w:asciiTheme="minorHAnsi" w:hAnsiTheme="minorHAnsi" w:eastAsiaTheme="minorEastAsia" w:cstheme="minorBidi"/>
          <w:snapToGrid/>
          <w:sz w:val="30"/>
          <w:szCs w:val="30"/>
          <w:highlight w:val="none"/>
          <w:lang w:val="en-US" w:eastAsia="zh-CN"/>
        </w:rPr>
        <w:t>4</w:t>
      </w:r>
      <w:r>
        <w:rPr>
          <w:rFonts w:hint="eastAsia" w:asciiTheme="minorHAnsi" w:hAnsiTheme="minorHAnsi" w:eastAsiaTheme="minorEastAsia" w:cstheme="minorBidi"/>
          <w:snapToGrid/>
          <w:sz w:val="30"/>
          <w:szCs w:val="30"/>
          <w:highlight w:val="none"/>
          <w:lang w:eastAsia="zh-CN"/>
        </w:rPr>
        <w:t xml:space="preserve"> </w:t>
      </w:r>
      <w:bookmarkEnd w:id="0"/>
      <w:bookmarkEnd w:id="1"/>
      <w:r>
        <w:rPr>
          <w:rFonts w:hint="eastAsia" w:asciiTheme="minorHAnsi" w:hAnsiTheme="minorHAnsi" w:eastAsiaTheme="minorEastAsia" w:cstheme="minorBidi"/>
          <w:snapToGrid/>
          <w:sz w:val="30"/>
          <w:szCs w:val="30"/>
          <w:highlight w:val="none"/>
          <w:lang w:eastAsia="zh-CN"/>
        </w:rPr>
        <w:t>汽车轮毂打磨去毛刺作业</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3634"/>
        <w:gridCol w:w="1111"/>
        <w:gridCol w:w="3721"/>
      </w:tblGrid>
      <w:tr w14:paraId="00ED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43383C90">
            <w:pPr>
              <w:jc w:val="left"/>
              <w:rPr>
                <w:b/>
              </w:rPr>
            </w:pPr>
            <w:r>
              <w:rPr>
                <w:rFonts w:hint="eastAsia" w:ascii="黑体" w:hAnsi="黑体" w:eastAsia="黑体" w:cs="黑体"/>
                <w:b w:val="0"/>
                <w:bCs/>
              </w:rPr>
              <w:t>授课日期</w:t>
            </w:r>
          </w:p>
        </w:tc>
        <w:tc>
          <w:tcPr>
            <w:tcW w:w="3634" w:type="dxa"/>
            <w:vAlign w:val="center"/>
          </w:tcPr>
          <w:p w14:paraId="605DB6DE">
            <w:pPr>
              <w:jc w:val="left"/>
              <w:rPr>
                <w:color w:val="A6A6A6" w:themeColor="background1" w:themeShade="A6"/>
              </w:rPr>
            </w:pPr>
          </w:p>
        </w:tc>
        <w:tc>
          <w:tcPr>
            <w:tcW w:w="1111" w:type="dxa"/>
            <w:vAlign w:val="center"/>
          </w:tcPr>
          <w:p w14:paraId="21631576">
            <w:pPr>
              <w:jc w:val="left"/>
              <w:rPr>
                <w:rFonts w:hint="default" w:eastAsiaTheme="minorEastAsia"/>
                <w:b/>
                <w:lang w:val="en-US" w:eastAsia="zh-CN"/>
              </w:rPr>
            </w:pPr>
            <w:r>
              <w:rPr>
                <w:rFonts w:hint="eastAsia" w:ascii="黑体" w:hAnsi="黑体" w:eastAsia="黑体" w:cs="黑体"/>
                <w:b w:val="0"/>
                <w:bCs/>
                <w:lang w:val="en-US" w:eastAsia="zh-CN"/>
              </w:rPr>
              <w:t>授课班级</w:t>
            </w:r>
          </w:p>
        </w:tc>
        <w:tc>
          <w:tcPr>
            <w:tcW w:w="3721" w:type="dxa"/>
            <w:vAlign w:val="center"/>
          </w:tcPr>
          <w:p w14:paraId="19FEF54F">
            <w:pPr>
              <w:jc w:val="left"/>
              <w:rPr>
                <w:b/>
              </w:rPr>
            </w:pPr>
          </w:p>
        </w:tc>
      </w:tr>
      <w:tr w14:paraId="4AA5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067674E2">
            <w:pPr>
              <w:jc w:val="left"/>
              <w:rPr>
                <w:rFonts w:hint="eastAsia"/>
                <w:b/>
              </w:rPr>
            </w:pPr>
            <w:r>
              <w:rPr>
                <w:rFonts w:hint="eastAsia" w:ascii="黑体" w:hAnsi="黑体" w:eastAsia="黑体" w:cs="黑体"/>
                <w:b w:val="0"/>
                <w:bCs/>
                <w:lang w:val="en-US" w:eastAsia="zh-CN"/>
              </w:rPr>
              <w:t>教案主题</w:t>
            </w:r>
          </w:p>
        </w:tc>
        <w:tc>
          <w:tcPr>
            <w:tcW w:w="8466" w:type="dxa"/>
            <w:gridSpan w:val="3"/>
            <w:vAlign w:val="center"/>
          </w:tcPr>
          <w:p w14:paraId="5A1A1C0B">
            <w:pPr>
              <w:jc w:val="left"/>
            </w:pPr>
            <w:r>
              <w:rPr>
                <w:rFonts w:hint="eastAsia" w:ascii="黑体" w:hAnsi="黑体" w:eastAsia="黑体" w:cs="黑体"/>
                <w:b w:val="0"/>
                <w:bCs/>
                <w:lang w:val="en-US" w:eastAsia="zh-CN"/>
              </w:rPr>
              <w:t>汽车轮毂打磨去毛刺作业</w:t>
            </w:r>
          </w:p>
        </w:tc>
      </w:tr>
      <w:tr w14:paraId="4A55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3AD00986">
            <w:pPr>
              <w:jc w:val="left"/>
              <w:rPr>
                <w:b/>
              </w:rPr>
            </w:pPr>
            <w:r>
              <w:rPr>
                <w:rFonts w:hint="eastAsia" w:ascii="黑体" w:hAnsi="黑体" w:eastAsia="黑体" w:cs="黑体"/>
                <w:b w:val="0"/>
                <w:bCs/>
                <w:lang w:val="en-US" w:eastAsia="zh-CN"/>
              </w:rPr>
              <w:t>学时分配</w:t>
            </w:r>
          </w:p>
        </w:tc>
        <w:tc>
          <w:tcPr>
            <w:tcW w:w="3634" w:type="dxa"/>
            <w:vAlign w:val="center"/>
          </w:tcPr>
          <w:p w14:paraId="75CC1B82">
            <w:pPr>
              <w:jc w:val="left"/>
              <w:rPr>
                <w:rFonts w:hint="default"/>
                <w:color w:val="A6A6A6" w:themeColor="background1" w:themeShade="A6"/>
                <w:lang w:val="en-US"/>
              </w:rPr>
            </w:pPr>
            <w:r>
              <w:rPr>
                <w:rFonts w:hint="eastAsia" w:ascii="黑体" w:hAnsi="黑体" w:eastAsia="黑体" w:cs="黑体"/>
                <w:b w:val="0"/>
                <w:bCs/>
                <w:lang w:val="en-US" w:eastAsia="zh-CN"/>
              </w:rPr>
              <w:t>理实一体化教学8学时</w:t>
            </w:r>
          </w:p>
        </w:tc>
        <w:tc>
          <w:tcPr>
            <w:tcW w:w="1111" w:type="dxa"/>
            <w:vAlign w:val="center"/>
          </w:tcPr>
          <w:p w14:paraId="5419758B">
            <w:pPr>
              <w:jc w:val="left"/>
              <w:rPr>
                <w:b/>
              </w:rPr>
            </w:pPr>
            <w:r>
              <w:rPr>
                <w:rFonts w:hint="eastAsia" w:ascii="黑体" w:hAnsi="黑体" w:eastAsia="黑体" w:cs="黑体"/>
                <w:b w:val="0"/>
                <w:bCs/>
                <w:lang w:val="en-US" w:eastAsia="zh-CN"/>
              </w:rPr>
              <w:t>主讲教师</w:t>
            </w:r>
          </w:p>
        </w:tc>
        <w:tc>
          <w:tcPr>
            <w:tcW w:w="3721" w:type="dxa"/>
            <w:vAlign w:val="center"/>
          </w:tcPr>
          <w:p w14:paraId="57A1E373">
            <w:pPr>
              <w:jc w:val="left"/>
              <w:rPr>
                <w:b/>
              </w:rPr>
            </w:pPr>
          </w:p>
        </w:tc>
      </w:tr>
      <w:tr w14:paraId="0CE1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354" w:type="dxa"/>
            <w:vAlign w:val="center"/>
          </w:tcPr>
          <w:p w14:paraId="19886501">
            <w:pPr>
              <w:jc w:val="left"/>
              <w:rPr>
                <w:b/>
              </w:rPr>
            </w:pPr>
            <w:r>
              <w:rPr>
                <w:rFonts w:hint="eastAsia" w:ascii="黑体" w:hAnsi="黑体" w:eastAsia="黑体" w:cs="黑体"/>
                <w:b w:val="0"/>
                <w:bCs/>
                <w:lang w:val="en-US" w:eastAsia="zh-CN"/>
              </w:rPr>
              <w:t>教学目标</w:t>
            </w:r>
          </w:p>
        </w:tc>
        <w:tc>
          <w:tcPr>
            <w:tcW w:w="8466" w:type="dxa"/>
            <w:gridSpan w:val="3"/>
            <w:vAlign w:val="center"/>
          </w:tcPr>
          <w:p w14:paraId="327A7C8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1.知识目标：</w:t>
            </w:r>
          </w:p>
          <w:p w14:paraId="6F3B8DD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（1）了解汽车轮毂打磨去毛刺设备的工作原理，包括打磨工具的运动方式、去毛刺的工艺原理等。</w:t>
            </w:r>
          </w:p>
          <w:p w14:paraId="14EC025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（2）了解工业机器人与打磨去毛刺设备的基本协作方式，以及信号交互原理。</w:t>
            </w:r>
          </w:p>
          <w:p w14:paraId="4514096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（3）熟悉工业机器人编程中与运动轨迹控制、力度控制相关指令的使用方法。</w:t>
            </w:r>
          </w:p>
          <w:p w14:paraId="2921316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（4）掌握汽车轮毂打磨去毛刺功能的程序编写及调试方法，理解如何通过编程实现不同部位、不同精度要求的打磨去毛刺操作。</w:t>
            </w:r>
          </w:p>
          <w:p w14:paraId="6272500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（5）掌握汽车轮毂表面状态检测的程序编制方法，明确如何通过程序判断轮毂打磨去毛刺后的质量是否达标。</w:t>
            </w:r>
          </w:p>
          <w:p w14:paraId="2E63D4D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2.技能目标：</w:t>
            </w:r>
          </w:p>
          <w:p w14:paraId="79B6321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（1）能够根据汽车轮毂打磨去毛刺的工艺要求，设置工业机器人与打磨设备之间的连接参数，确保两者协同工作时的稳定性和精准度。</w:t>
            </w:r>
          </w:p>
          <w:p w14:paraId="0114528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（2）能够编制工业机器人与打磨设备之间的协作程序，实现连贯且高效的打磨去毛刺动作流程。</w:t>
            </w:r>
          </w:p>
          <w:p w14:paraId="03BE8F9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（3）能够运用传感器技术和编程知识，编制汽车轮毂打磨后表面状态检测的程序。</w:t>
            </w:r>
          </w:p>
          <w:p w14:paraId="544339A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（4）能够独立完成汽车轮毂打磨去毛刺功能的程序编写，并根据实际打磨过程中出现的问题。</w:t>
            </w:r>
          </w:p>
          <w:p w14:paraId="2562EF1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（5）能够对打磨去毛刺设备的控制系统程序进行优化设计，提升设备的运行效率，同时根据不同型号轮毂的打磨需求，实现程序的快速切换和调整。</w:t>
            </w:r>
          </w:p>
          <w:p w14:paraId="3613A91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3.素质目标：</w:t>
            </w:r>
          </w:p>
          <w:p w14:paraId="2AFE0E76">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（1）养成积极思考、理清思路、深入分析并有效解决问题的思维方式。</w:t>
            </w:r>
          </w:p>
          <w:p w14:paraId="2F06BD6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（2）养成严格遵守 “7S 规范”（整理、整顿、清扫、清洁、素养、安全、节约），始终保持工作区域的整洁有序。</w:t>
            </w:r>
          </w:p>
          <w:p w14:paraId="0484ACA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（3）树立绿色环保理念，积极探索节能、环保的打磨工艺和方法。</w:t>
            </w:r>
          </w:p>
          <w:p w14:paraId="0B53097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（4）树立强烈的行业责任感，严格把控质量标准理念。</w:t>
            </w:r>
          </w:p>
          <w:p w14:paraId="236550F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（5）提高积极与团队成员进行沟通协作，合理分工，共同攻克技术难题能力。</w:t>
            </w:r>
          </w:p>
          <w:p w14:paraId="6CBAF7B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pPr>
            <w:r>
              <w:rPr>
                <w:rFonts w:hint="eastAsia" w:ascii="黑体" w:hAnsi="黑体" w:eastAsia="黑体" w:cs="黑体"/>
                <w:b w:val="0"/>
                <w:bCs/>
                <w:kern w:val="2"/>
                <w:sz w:val="21"/>
                <w:szCs w:val="22"/>
                <w:lang w:val="en-US" w:eastAsia="zh-CN" w:bidi="ar-SA"/>
              </w:rPr>
              <w:t>（6）提高运用数据分析方法优化打磨工艺和编程逻辑能力。</w:t>
            </w:r>
          </w:p>
        </w:tc>
      </w:tr>
      <w:tr w14:paraId="554D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7C13F901">
            <w:pPr>
              <w:jc w:val="left"/>
              <w:rPr>
                <w:b/>
              </w:rPr>
            </w:pPr>
            <w:r>
              <w:rPr>
                <w:rFonts w:hint="eastAsia" w:ascii="黑体" w:hAnsi="黑体" w:eastAsia="黑体" w:cs="黑体"/>
                <w:b w:val="0"/>
                <w:bCs/>
                <w:lang w:val="en-US" w:eastAsia="zh-CN"/>
              </w:rPr>
              <w:t>教学重点</w:t>
            </w:r>
          </w:p>
        </w:tc>
        <w:tc>
          <w:tcPr>
            <w:tcW w:w="8466" w:type="dxa"/>
            <w:gridSpan w:val="3"/>
            <w:vAlign w:val="center"/>
          </w:tcPr>
          <w:p w14:paraId="4451111C">
            <w:pPr>
              <w:jc w:val="left"/>
            </w:pPr>
            <w:r>
              <w:rPr>
                <w:rFonts w:hint="eastAsia" w:ascii="黑体" w:hAnsi="黑体" w:eastAsia="黑体" w:cs="黑体"/>
                <w:b w:val="0"/>
                <w:bCs/>
                <w:kern w:val="2"/>
                <w:sz w:val="21"/>
                <w:szCs w:val="22"/>
                <w:lang w:val="en-US" w:eastAsia="zh-CN" w:bidi="ar-SA"/>
              </w:rPr>
              <w:t>机器人与</w:t>
            </w:r>
            <w:r>
              <w:rPr>
                <w:rFonts w:hint="eastAsia" w:ascii="黑体" w:hAnsi="黑体" w:eastAsia="黑体" w:cs="黑体"/>
                <w:b w:val="0"/>
                <w:bCs/>
                <w:lang w:val="en-US" w:eastAsia="zh-CN"/>
              </w:rPr>
              <w:t>打磨单元</w:t>
            </w:r>
            <w:r>
              <w:rPr>
                <w:rFonts w:hint="eastAsia" w:ascii="黑体" w:hAnsi="黑体" w:eastAsia="黑体" w:cs="黑体"/>
                <w:b w:val="0"/>
                <w:bCs/>
                <w:kern w:val="2"/>
                <w:sz w:val="21"/>
                <w:szCs w:val="22"/>
                <w:lang w:val="en-US" w:eastAsia="zh-CN" w:bidi="ar-SA"/>
              </w:rPr>
              <w:t>的基本通信方式。</w:t>
            </w:r>
          </w:p>
        </w:tc>
      </w:tr>
      <w:tr w14:paraId="2B7E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64BA2DD7">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教学难点</w:t>
            </w:r>
          </w:p>
        </w:tc>
        <w:tc>
          <w:tcPr>
            <w:tcW w:w="8466" w:type="dxa"/>
            <w:gridSpan w:val="3"/>
            <w:vAlign w:val="center"/>
          </w:tcPr>
          <w:p w14:paraId="43B8A529">
            <w:pPr>
              <w:jc w:val="left"/>
            </w:pPr>
            <w:r>
              <w:rPr>
                <w:rFonts w:hint="eastAsia" w:ascii="黑体" w:hAnsi="黑体" w:eastAsia="黑体" w:cs="黑体"/>
                <w:b w:val="0"/>
                <w:bCs/>
                <w:lang w:val="en-US" w:eastAsia="zh-CN"/>
              </w:rPr>
              <w:t>打磨单元</w:t>
            </w:r>
            <w:r>
              <w:rPr>
                <w:rFonts w:hint="eastAsia" w:ascii="黑体" w:hAnsi="黑体" w:eastAsia="黑体" w:cs="黑体"/>
                <w:b w:val="0"/>
                <w:bCs/>
                <w:kern w:val="2"/>
                <w:sz w:val="21"/>
                <w:szCs w:val="22"/>
                <w:lang w:val="en-US" w:eastAsia="zh-CN" w:bidi="ar-SA"/>
              </w:rPr>
              <w:t>程序设计</w:t>
            </w:r>
          </w:p>
        </w:tc>
      </w:tr>
      <w:tr w14:paraId="4650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8" w:hRule="atLeast"/>
        </w:trPr>
        <w:tc>
          <w:tcPr>
            <w:tcW w:w="1354" w:type="dxa"/>
            <w:vAlign w:val="center"/>
          </w:tcPr>
          <w:p w14:paraId="7936BC38">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教学设计</w:t>
            </w:r>
          </w:p>
          <w:p w14:paraId="3FB8F4A5">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思路</w:t>
            </w:r>
          </w:p>
        </w:tc>
        <w:tc>
          <w:tcPr>
            <w:tcW w:w="8466" w:type="dxa"/>
            <w:gridSpan w:val="3"/>
            <w:vAlign w:val="center"/>
          </w:tcPr>
          <w:p w14:paraId="6E5854F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一、本单元教学内容重塑</w:t>
            </w:r>
          </w:p>
          <w:p w14:paraId="1F8B397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重塑原则与方法</w:t>
            </w:r>
          </w:p>
          <w:p w14:paraId="46D6FDBC">
            <w:pPr>
              <w:keepNext w:val="0"/>
              <w:keepLines w:val="0"/>
              <w:widowControl/>
              <w:suppressLineNumbers w:val="0"/>
              <w:jc w:val="left"/>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原则：</w:t>
            </w:r>
            <w:r>
              <w:rPr>
                <w:rFonts w:ascii="宋体" w:hAnsi="宋体" w:eastAsia="宋体" w:cs="宋体"/>
                <w:kern w:val="0"/>
                <w:sz w:val="24"/>
                <w:szCs w:val="24"/>
                <w:lang w:val="en-US" w:eastAsia="zh-CN" w:bidi="ar"/>
              </w:rPr>
              <w:t>紧密贴合汽车轮毂制造行业的实际生产需求，保证学生所学知识和技能能够精准对接汽车轮毂打磨去毛刺工作岗位。重点培育学生的实践操作能力、应对复杂工艺问题的解决能力以及创新优化打磨工艺的思维，以契合汽车制造行业不断发展的技术需求。依照学生的认知规律，从基础理论知识讲解开始，逐步过渡到实际操作与项目实践，由浅入深，助力学生全面且扎实地掌握相关知识与技能。</w:t>
            </w:r>
          </w:p>
          <w:p w14:paraId="077C1BF6">
            <w:pPr>
              <w:keepNext w:val="0"/>
              <w:keepLines w:val="0"/>
              <w:widowControl/>
              <w:suppressLineNumbers w:val="0"/>
              <w:jc w:val="left"/>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方法</w:t>
            </w:r>
            <w:r>
              <w:rPr>
                <w:rFonts w:hint="eastAsia" w:ascii="黑体" w:hAnsi="黑体" w:eastAsia="黑体" w:cs="黑体"/>
                <w:b w:val="0"/>
                <w:bCs/>
                <w:kern w:val="2"/>
                <w:sz w:val="21"/>
                <w:szCs w:val="22"/>
                <w:lang w:val="en-US" w:eastAsia="zh-CN" w:bidi="ar-SA"/>
              </w:rPr>
              <w:t>：</w:t>
            </w:r>
            <w:r>
              <w:rPr>
                <w:rFonts w:ascii="宋体" w:hAnsi="宋体" w:eastAsia="宋体" w:cs="宋体"/>
                <w:kern w:val="0"/>
                <w:sz w:val="24"/>
                <w:szCs w:val="24"/>
                <w:lang w:val="en-US" w:eastAsia="zh-CN" w:bidi="ar"/>
              </w:rPr>
              <w:t>打破学科壁垒，将工业机器人技术、机械制造工艺、自动化控制以及材料科学等多学科知识融合，构建以汽车轮毂打磨去毛刺为核心的知识架构。引入汽车轮毂制造企业的真实项目案例，采用项目驱动教学法，促使学生在完成项目任务的过程中，自主学习并掌握知识与技能，同时锻炼团队协作和自主学习能力。</w:t>
            </w:r>
          </w:p>
          <w:p w14:paraId="234687B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内容结构</w:t>
            </w:r>
          </w:p>
          <w:p w14:paraId="1EB4E45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基础理论</w:t>
            </w:r>
          </w:p>
          <w:p w14:paraId="451F91D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工业机器人基础：</w:t>
            </w:r>
            <w:r>
              <w:rPr>
                <w:rFonts w:hint="eastAsia" w:ascii="黑体" w:hAnsi="黑体" w:eastAsia="黑体" w:cs="黑体"/>
                <w:b w:val="0"/>
                <w:bCs/>
                <w:kern w:val="2"/>
                <w:sz w:val="21"/>
                <w:szCs w:val="22"/>
                <w:lang w:val="en-US" w:eastAsia="zh-CN" w:bidi="ar-SA"/>
              </w:rPr>
              <w:t>讲解工业机器人的结构类型、机器人的分类方式；深入剖析机器人运动学原理，包括正运动学和逆运动学在控制机器人打磨轨迹方面的应用。</w:t>
            </w:r>
          </w:p>
          <w:p w14:paraId="47535F1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机械制造工艺基础：介绍汽车轮毂的材料特性，如铝合金、钢等材料对打磨工艺的影响；讲解车削、铣削等基础机械加工工艺与打磨去毛刺工艺的关联。</w:t>
            </w:r>
          </w:p>
          <w:p w14:paraId="1D99064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自动化控制基础：</w:t>
            </w:r>
            <w:r>
              <w:rPr>
                <w:rFonts w:hint="eastAsia" w:ascii="黑体" w:hAnsi="黑体" w:eastAsia="黑体" w:cs="黑体"/>
                <w:b w:val="0"/>
                <w:bCs/>
                <w:kern w:val="2"/>
                <w:sz w:val="21"/>
                <w:szCs w:val="22"/>
                <w:lang w:val="en-US" w:eastAsia="zh-CN" w:bidi="ar-SA"/>
              </w:rPr>
              <w:t>阐述 PLC 控制原理在汽车轮毂打磨设备自动化运行中的应用，如控制打磨工具的启停、转速调节等；介绍位移传感器、力传感器等在打磨过程中的应用，用于监测打磨位置和力度。</w:t>
            </w:r>
          </w:p>
          <w:p w14:paraId="467ACA4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（2）打磨去毛刺技术</w:t>
            </w:r>
          </w:p>
          <w:p w14:paraId="141B0F2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打磨工艺参数确定：根据轮毂材料、形状确定打磨工艺参数，如打磨速度、进给量、打磨时间等，以及这些参数对打磨质量和效率的影响。</w:t>
            </w:r>
          </w:p>
          <w:p w14:paraId="2EA3ECA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去毛刺方法与工具选择：介绍手工去毛刺、机械去毛刺、化学去毛刺等多种方法及其适用场景；讲解不同类型打磨工具，如砂轮、砂带、抛光轮等的特点及选择依据。</w:t>
            </w:r>
          </w:p>
          <w:p w14:paraId="64A1CCF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（3）打磨作业编程</w:t>
            </w:r>
          </w:p>
          <w:p w14:paraId="1D60DD5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机器人编程基础：介绍工业机器人常用编程语言，在汽车轮毂打磨中的指令系统，包括运动指令、逻辑控制指令等。</w:t>
            </w:r>
          </w:p>
          <w:p w14:paraId="3C07E1F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打磨编程实现：结合汽车轮毂的形状和打磨要求，编写机器人打磨去毛刺动作程序，实现不同部位、不同精度要求的打磨轨迹规划，以及打磨力度的控制编程。</w:t>
            </w:r>
          </w:p>
          <w:p w14:paraId="56C5453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（4）系统集成与调试</w:t>
            </w:r>
          </w:p>
          <w:p w14:paraId="65DC699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系统搭建：讲解工业机器人、打磨设备、工装夹具等硬件的连接与集成方法，确保设备之间的协同工作，如机器人与打磨工具的安装调试，工装夹具对轮毂的精准定位。</w:t>
            </w:r>
          </w:p>
          <w:p w14:paraId="58CD3D89">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系统调试与优化：分析调试过程中常见问题，如打磨不均匀、机器人运动卡顿等的原因及解决方法；通过优化编程逻辑、调整工艺参数等方式，提高打磨质量和效率，降低设备故障率。</w:t>
            </w:r>
          </w:p>
          <w:p w14:paraId="2CA61E36">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二、教学资源</w:t>
            </w:r>
          </w:p>
          <w:p w14:paraId="0B7B357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教学视频</w:t>
            </w:r>
          </w:p>
          <w:p w14:paraId="230B277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 xml:space="preserve">    针对汽车轮毂打磨去毛刺的关键知识点和实践操作环节，制作一系列自建视频。例如展示不同类型工业机器人在汽车轮毂打磨去毛刺作业中的实操演示，包括机器人如何精准定位轮毂的待打磨部位、更换打磨工具的过程等；汽车轮毂打磨工艺参数设置的详细讲解，如针对不同材质轮毂的打磨速度、进给量设定依据；以及汽车轮毂打磨去毛刺系统集成与调试步骤的全过程展示，让学生直观了解设备的安装与调试要点。这些视频紧密结合实际教学需求，能有效辅助学生理解和掌握重难点内容。</w:t>
            </w:r>
          </w:p>
          <w:p w14:paraId="4B169552">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2.案例库</w:t>
            </w:r>
          </w:p>
          <w:p w14:paraId="3F4CA03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收集汽车轮毂制造企业实际生产中汽车轮毂打磨去毛刺的案例。比如某企业在引入新型打磨设备后，如何优化打磨工艺，解决了打磨效率低下和毛刺残留过多的问题；还有针对不同材料汽车轮毂打磨去毛刺的案例分析，详细阐述案例背景、项目需求、解决方案以及实施过程中的经验教训，引导学生从实际案例中学习知识和方法。</w:t>
            </w:r>
          </w:p>
          <w:p w14:paraId="29CA448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3.习题库</w:t>
            </w:r>
          </w:p>
          <w:p w14:paraId="0416251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题型设置：涵盖选择题、填空题、简答题、编程题和案例分析题等多种题型。选择题和填空题主要考查汽车轮毂打磨去毛刺基础知识的掌握情况，如工业机器人的基本结构、打磨工具的类型等；简答题用于检测学生对重要概念和原理的理解，如打磨工艺参数对打磨质量的影响、机器人运动学原理在轮毂打磨中的应用等；编程题要求学生运用所学工业机器人编程语言，实现汽车轮毂特定部位打磨去毛刺的动作程序编写；案例分析题则通过给定汽车轮毂打磨去毛刺过程中出现的问题，如打磨表面不平整、毛刺去除不彻底等，培养学生分析和解决实际问题的能力。</w:t>
            </w:r>
          </w:p>
          <w:p w14:paraId="7660076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4.实验项目库</w:t>
            </w:r>
          </w:p>
          <w:p w14:paraId="7324DA8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基础实验：设置 “工业机器人在汽车轮毂简单打磨操作实验”，帮助学生熟悉工业机器人在汽车轮毂打磨中的基本操作，包括机器人的手动示教、基本运动指令的运用等；“汽车轮毂打磨工艺参数设定实验”，让学生掌握根据轮毂材料、形状设定合适打磨工艺参数的方法，如打磨速度、进给量和打磨时间的调整。</w:t>
            </w:r>
          </w:p>
          <w:p w14:paraId="18BFD4D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综合实验：开展 “汽车轮毂多工序打磨去毛刺综合实验”，要求学生将多种打磨工艺（粗打磨、精打磨、去毛刺等）与工业机器人操作相结合，完成一个完整的汽车轮毂打磨去毛刺任务，培养学生的综合应用能力。</w:t>
            </w:r>
          </w:p>
          <w:p w14:paraId="670D626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拓展实验：设计 “基于人工智能优化汽车轮毂打磨去毛刺工艺实验”，鼓励学生探索前沿技术在汽车轮毂打磨去毛刺领域的应用，如利用机器学习算法优化打磨工艺参数，根据轮毂表面实时状态调整打磨力度和路径，提升学生的创新能力。</w:t>
            </w:r>
          </w:p>
          <w:p w14:paraId="08B66FF1">
            <w:pPr>
              <w:pStyle w:val="4"/>
              <w:keepNext w:val="0"/>
              <w:keepLines w:val="0"/>
              <w:pageBreakBefore w:val="0"/>
              <w:widowControl/>
              <w:numPr>
                <w:ilvl w:val="0"/>
                <w:numId w:val="1"/>
              </w:numPr>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教学流程及方法</w:t>
            </w:r>
          </w:p>
          <w:p w14:paraId="6C5726D1">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教学流程</w:t>
            </w:r>
          </w:p>
          <w:p w14:paraId="04A48234">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课程导入：播放汽车轮毂制造企业中工业机器人进行汽车轮毂打磨去毛刺的视频，展示机器人高效、精准地去除轮毂表面毛刺，使轮毂表面达到高精度要求的工作场景。播放结束后，提出问题，如 “如何让机器人精准地识别并去除不同形状和位置的毛刺？”</w:t>
            </w:r>
            <w:r>
              <w:rPr>
                <w:rFonts w:hint="eastAsia" w:ascii="黑体" w:hAnsi="黑体" w:eastAsia="黑体" w:cs="黑体"/>
                <w:b w:val="0"/>
                <w:bCs/>
                <w:kern w:val="2"/>
                <w:sz w:val="21"/>
                <w:szCs w:val="22"/>
                <w:lang w:val="en-US" w:eastAsia="zh-CN" w:bidi="ar-SA"/>
              </w:rPr>
              <w:t>、</w:t>
            </w:r>
            <w:r>
              <w:rPr>
                <w:rFonts w:hint="default" w:ascii="黑体" w:hAnsi="黑体" w:eastAsia="黑体" w:cs="黑体"/>
                <w:b w:val="0"/>
                <w:bCs/>
                <w:kern w:val="2"/>
                <w:sz w:val="21"/>
                <w:szCs w:val="22"/>
                <w:lang w:val="en-US" w:eastAsia="zh-CN" w:bidi="ar-SA"/>
              </w:rPr>
              <w:t>“怎样选择合适的打磨参数以保证打磨质量和效率？”引导学生思考汽车轮毂打磨去毛刺作业的实现原理和关键技术。</w:t>
            </w:r>
          </w:p>
          <w:p w14:paraId="4DACB2A5">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知识讲解：结合 PPT、动画、视频等多种教学手段，系统讲解工业机器人在汽车轮毂打磨去毛刺作业中的基础理论，包括工业机器人的运动学原理、动力学特性在打磨中的应用；技术方法，如不同打磨工艺（干磨、湿磨）的特点和适用场景，打磨工具的选择与使用方法；以及编程知识，像工业机器人编程语言在控制打磨轨迹、力度方面的应用。讲解过程中穿插实际案例，如某汽车轮毂制造企业通过优化打磨工艺参数，使产品次品率降低的案例，帮助学生理解抽象概念。</w:t>
            </w:r>
          </w:p>
          <w:p w14:paraId="7A8A6110">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案例分析：选取典型的基于问题学习（PBL）和基于案例学习（CBL）案例进行深入分析。例如，分析某企业在采用新型打磨设备时，遇到的打磨不均匀问题及解决方法，从设备选型、工艺参数调整、编程优化等方面进行剖析，引导学生从案例中学习解决实际问题的思路和方法，培养学生的工程思维能力。</w:t>
            </w:r>
          </w:p>
          <w:p w14:paraId="75293B3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实践操作：学生在实验室进行实验项目操作，按照从基础实验到综合实验再到拓展实验的顺序，逐步提升实践能力。先进行 “工业机器人在汽车轮毂简单打磨操作实验”“汽车轮毂打磨工艺参数设定实验” 等基础实验，熟悉机器人操作和参数设定；接着开展 “汽车轮毂多工序打磨去毛刺综合实验”，将粗打磨、精打磨、去毛刺等多种工艺与机器人操作结合；最后进行 “基于人工智能优化汽车轮毂打磨去毛刺工艺实验” 等拓展实验。教师在实践过程中巡回指导，及时解决学生遇到的问题，如机器人运动轨迹偏差、打磨表面质量不达标等。</w:t>
            </w:r>
          </w:p>
          <w:p w14:paraId="11BC21C8">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r>
              <w:rPr>
                <w:rFonts w:hint="default" w:ascii="黑体" w:hAnsi="黑体" w:eastAsia="黑体" w:cs="黑体"/>
                <w:b w:val="0"/>
                <w:bCs/>
                <w:kern w:val="2"/>
                <w:sz w:val="21"/>
                <w:szCs w:val="22"/>
                <w:lang w:val="en-US" w:eastAsia="zh-CN" w:bidi="ar-SA"/>
              </w:rPr>
              <w:t>总结评价：学生对实验结果进行总结汇报，分享学习收获和遇到的问题及解决方法。教师对学生的学习成果进行评价，从实验操作规范、打磨质量、创新思路等方面进行打分和点评。总结课程重点知识和技能，强调安全操作、质量控制等注意事项，为后续学习和实践提供指导。</w:t>
            </w:r>
          </w:p>
          <w:p w14:paraId="7BA2D98D">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教学方法</w:t>
            </w:r>
          </w:p>
          <w:p w14:paraId="35449C49">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w:t>
            </w:r>
            <w:r>
              <w:rPr>
                <w:rFonts w:hint="default" w:ascii="黑体" w:hAnsi="黑体" w:eastAsia="黑体" w:cs="黑体"/>
                <w:b w:val="0"/>
                <w:bCs/>
                <w:kern w:val="2"/>
                <w:sz w:val="21"/>
                <w:szCs w:val="22"/>
                <w:lang w:val="en-US" w:eastAsia="zh-CN" w:bidi="ar-SA"/>
              </w:rPr>
              <w:t>讲授法：在讲解工业机器人结构、汽车轮毂打磨工艺原理等理论知识时，采用讲授法，确保学生掌握基本概念和原理。例如，详细讲解打磨工具的运动方式、机器人坐标系的建立等内容。</w:t>
            </w:r>
          </w:p>
          <w:p w14:paraId="2EA8555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w:t>
            </w:r>
            <w:r>
              <w:rPr>
                <w:rFonts w:hint="default" w:ascii="黑体" w:hAnsi="黑体" w:eastAsia="黑体" w:cs="黑体"/>
                <w:b w:val="0"/>
                <w:bCs/>
                <w:kern w:val="2"/>
                <w:sz w:val="21"/>
                <w:szCs w:val="22"/>
                <w:lang w:val="en-US" w:eastAsia="zh-CN" w:bidi="ar-SA"/>
              </w:rPr>
              <w:t>案例教学法：通过分析汽车轮毂制造企业实际打磨去毛刺案例，如不同材料轮毂的打磨工艺改进案例、新型打磨设备应用案例等，加深学生对知识的理解和应用。引导学生讨论案例中的技术创新点和可借鉴之处，如在案例中如何通过优化编程提高打磨效率。</w:t>
            </w:r>
          </w:p>
          <w:p w14:paraId="30DA7B40">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w:t>
            </w:r>
            <w:r>
              <w:rPr>
                <w:rFonts w:hint="default" w:ascii="黑体" w:hAnsi="黑体" w:eastAsia="黑体" w:cs="黑体"/>
                <w:b w:val="0"/>
                <w:bCs/>
                <w:kern w:val="2"/>
                <w:sz w:val="21"/>
                <w:szCs w:val="22"/>
                <w:lang w:val="en-US" w:eastAsia="zh-CN" w:bidi="ar-SA"/>
              </w:rPr>
              <w:t>小组合作学习法：在综合实验和拓展实验中，将学生分成小组，共同完成汽车轮毂多工序打磨、基于人工智能优化打磨工艺等任务，培养学生团队协作和沟通能力。小组内成员分工合作，如有的负责编程，有的负责设备调试，共同解决实验中遇到的问题。</w:t>
            </w:r>
          </w:p>
          <w:p w14:paraId="54E44ABB">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w:t>
            </w:r>
            <w:r>
              <w:rPr>
                <w:rFonts w:hint="default" w:ascii="黑体" w:hAnsi="黑体" w:eastAsia="黑体" w:cs="黑体"/>
                <w:b w:val="0"/>
                <w:bCs/>
                <w:kern w:val="2"/>
                <w:sz w:val="21"/>
                <w:szCs w:val="22"/>
                <w:lang w:val="en-US" w:eastAsia="zh-CN" w:bidi="ar-SA"/>
              </w:rPr>
              <w:t>项目驱动法：以实际汽车轮毂打磨去毛刺项目为载体，如给定一批不同规格的轮毂打磨去毛刺任务，要求学生完成从工艺规划、机器人编程到打磨成品的全过程，提升学生综合实践能力。学生在项目实践中积累经验，提高解决实际问题的能力，如在项目中学会根据轮毂的不同要求调整打磨工艺和编程参数。</w:t>
            </w:r>
          </w:p>
          <w:p w14:paraId="4D4D068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eastAsia"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四、学习评价</w:t>
            </w:r>
          </w:p>
          <w:p w14:paraId="412FE1EF">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1.评价方式</w:t>
            </w:r>
          </w:p>
          <w:p w14:paraId="4F54FC53">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firstLine="420" w:firstLineChars="200"/>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采用学生自评、小组互评、教师评价相结合的多元评价方式。</w:t>
            </w:r>
          </w:p>
          <w:p w14:paraId="0924EF9E">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r>
              <w:rPr>
                <w:rFonts w:hint="default" w:ascii="黑体" w:hAnsi="黑体" w:eastAsia="黑体" w:cs="黑体"/>
                <w:b w:val="0"/>
                <w:bCs/>
                <w:kern w:val="2"/>
                <w:sz w:val="21"/>
                <w:szCs w:val="22"/>
                <w:lang w:val="en-US" w:eastAsia="zh-CN" w:bidi="ar-SA"/>
              </w:rPr>
              <w:t>2.评价表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671"/>
              <w:gridCol w:w="896"/>
              <w:gridCol w:w="3234"/>
              <w:gridCol w:w="644"/>
              <w:gridCol w:w="776"/>
              <w:gridCol w:w="1095"/>
            </w:tblGrid>
            <w:tr w14:paraId="7386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 w:type="dxa"/>
                  <w:shd w:val="clear" w:color="auto" w:fill="D7D7D7" w:themeFill="background1" w:themeFillShade="D8"/>
                  <w:vAlign w:val="center"/>
                </w:tcPr>
                <w:p w14:paraId="1B3F025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w:t>
                  </w:r>
                </w:p>
              </w:tc>
              <w:tc>
                <w:tcPr>
                  <w:tcW w:w="679" w:type="dxa"/>
                  <w:shd w:val="clear" w:color="auto" w:fill="D7D7D7" w:themeFill="background1" w:themeFillShade="D8"/>
                  <w:vAlign w:val="center"/>
                </w:tcPr>
                <w:p w14:paraId="2C760F67">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内容</w:t>
                  </w:r>
                </w:p>
              </w:tc>
              <w:tc>
                <w:tcPr>
                  <w:tcW w:w="4306" w:type="dxa"/>
                  <w:gridSpan w:val="2"/>
                  <w:shd w:val="clear" w:color="auto" w:fill="D7D7D7" w:themeFill="background1" w:themeFillShade="D8"/>
                  <w:vAlign w:val="center"/>
                </w:tcPr>
                <w:p w14:paraId="6033223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评分标准</w:t>
                  </w:r>
                </w:p>
              </w:tc>
              <w:tc>
                <w:tcPr>
                  <w:tcW w:w="656" w:type="dxa"/>
                  <w:shd w:val="clear" w:color="auto" w:fill="D7D7D7" w:themeFill="background1" w:themeFillShade="D8"/>
                  <w:vAlign w:val="center"/>
                </w:tcPr>
                <w:p w14:paraId="743A9FA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配分</w:t>
                  </w:r>
                </w:p>
              </w:tc>
              <w:tc>
                <w:tcPr>
                  <w:tcW w:w="795" w:type="dxa"/>
                  <w:shd w:val="clear" w:color="auto" w:fill="D7D7D7" w:themeFill="background1" w:themeFillShade="D8"/>
                  <w:vAlign w:val="center"/>
                </w:tcPr>
                <w:p w14:paraId="1BC8619E">
                  <w:pPr>
                    <w:widowControl w:val="0"/>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得分</w:t>
                  </w:r>
                </w:p>
              </w:tc>
              <w:tc>
                <w:tcPr>
                  <w:tcW w:w="1130" w:type="dxa"/>
                  <w:shd w:val="clear" w:color="auto" w:fill="D7D7D7" w:themeFill="background1" w:themeFillShade="D8"/>
                  <w:vAlign w:val="center"/>
                </w:tcPr>
                <w:p w14:paraId="14893EA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小计</w:t>
                  </w:r>
                </w:p>
              </w:tc>
            </w:tr>
            <w:tr w14:paraId="0EC5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restart"/>
                </w:tcPr>
                <w:p w14:paraId="06087AFC">
                  <w:pPr>
                    <w:widowControl w:val="0"/>
                    <w:rPr>
                      <w:rFonts w:hint="eastAsia" w:ascii="黑体" w:hAnsi="黑体" w:eastAsia="黑体" w:cs="黑体"/>
                      <w:b w:val="0"/>
                      <w:bCs/>
                      <w:kern w:val="2"/>
                      <w:sz w:val="21"/>
                      <w:szCs w:val="22"/>
                      <w:lang w:val="en-US" w:eastAsia="zh-CN" w:bidi="ar-SA"/>
                    </w:rPr>
                  </w:pPr>
                </w:p>
                <w:p w14:paraId="7992A628">
                  <w:pPr>
                    <w:widowControl w:val="0"/>
                    <w:rPr>
                      <w:rFonts w:hint="eastAsia" w:ascii="黑体" w:hAnsi="黑体" w:eastAsia="黑体" w:cs="黑体"/>
                      <w:b w:val="0"/>
                      <w:bCs/>
                      <w:kern w:val="2"/>
                      <w:sz w:val="21"/>
                      <w:szCs w:val="22"/>
                      <w:lang w:val="en-US" w:eastAsia="zh-CN" w:bidi="ar-SA"/>
                    </w:rPr>
                  </w:pPr>
                </w:p>
                <w:p w14:paraId="54B4C96C">
                  <w:pPr>
                    <w:widowControl w:val="0"/>
                    <w:rPr>
                      <w:rFonts w:hint="eastAsia" w:ascii="黑体" w:hAnsi="黑体" w:eastAsia="黑体" w:cs="黑体"/>
                      <w:b w:val="0"/>
                      <w:bCs/>
                      <w:kern w:val="2"/>
                      <w:sz w:val="21"/>
                      <w:szCs w:val="22"/>
                      <w:lang w:val="en-US" w:eastAsia="zh-CN" w:bidi="ar-SA"/>
                    </w:rPr>
                  </w:pPr>
                </w:p>
                <w:p w14:paraId="69B8E94E">
                  <w:pPr>
                    <w:widowControl w:val="0"/>
                    <w:rPr>
                      <w:rFonts w:hint="eastAsia" w:ascii="黑体" w:hAnsi="黑体" w:eastAsia="黑体" w:cs="黑体"/>
                      <w:b w:val="0"/>
                      <w:bCs/>
                      <w:kern w:val="2"/>
                      <w:sz w:val="21"/>
                      <w:szCs w:val="22"/>
                      <w:lang w:val="en-US" w:eastAsia="zh-CN" w:bidi="ar-SA"/>
                    </w:rPr>
                  </w:pPr>
                </w:p>
                <w:p w14:paraId="28B7C2EE">
                  <w:pPr>
                    <w:widowControl w:val="0"/>
                    <w:rPr>
                      <w:rFonts w:hint="eastAsia" w:ascii="黑体" w:hAnsi="黑体" w:eastAsia="黑体" w:cs="黑体"/>
                      <w:b w:val="0"/>
                      <w:bCs/>
                      <w:kern w:val="2"/>
                      <w:sz w:val="21"/>
                      <w:szCs w:val="22"/>
                      <w:lang w:val="en-US" w:eastAsia="zh-CN" w:bidi="ar-SA"/>
                    </w:rPr>
                  </w:pPr>
                </w:p>
                <w:p w14:paraId="3A24CF53">
                  <w:pPr>
                    <w:widowControl w:val="0"/>
                    <w:rPr>
                      <w:rFonts w:hint="eastAsia" w:ascii="黑体" w:hAnsi="黑体" w:eastAsia="黑体" w:cs="黑体"/>
                      <w:b w:val="0"/>
                      <w:bCs/>
                      <w:kern w:val="2"/>
                      <w:sz w:val="21"/>
                      <w:szCs w:val="22"/>
                      <w:lang w:val="en-US" w:eastAsia="zh-CN" w:bidi="ar-SA"/>
                    </w:rPr>
                  </w:pPr>
                </w:p>
                <w:p w14:paraId="152C7E28">
                  <w:pPr>
                    <w:widowControl w:val="0"/>
                    <w:rPr>
                      <w:rFonts w:hint="eastAsia" w:ascii="黑体" w:hAnsi="黑体" w:eastAsia="黑体" w:cs="黑体"/>
                      <w:b w:val="0"/>
                      <w:bCs/>
                      <w:kern w:val="2"/>
                      <w:sz w:val="21"/>
                      <w:szCs w:val="22"/>
                      <w:lang w:val="en-US" w:eastAsia="zh-CN" w:bidi="ar-SA"/>
                    </w:rPr>
                  </w:pPr>
                </w:p>
                <w:p w14:paraId="2064E901">
                  <w:pPr>
                    <w:widowControl w:val="0"/>
                    <w:rPr>
                      <w:rFonts w:hint="eastAsia" w:ascii="黑体" w:hAnsi="黑体" w:eastAsia="黑体" w:cs="黑体"/>
                      <w:b w:val="0"/>
                      <w:bCs/>
                      <w:kern w:val="2"/>
                      <w:sz w:val="21"/>
                      <w:szCs w:val="22"/>
                      <w:lang w:val="en-US" w:eastAsia="zh-CN" w:bidi="ar-SA"/>
                    </w:rPr>
                  </w:pPr>
                </w:p>
                <w:p w14:paraId="5BE65EF3">
                  <w:pPr>
                    <w:widowControl w:val="0"/>
                    <w:rPr>
                      <w:rFonts w:hint="eastAsia" w:ascii="黑体" w:hAnsi="黑体" w:eastAsia="黑体" w:cs="黑体"/>
                      <w:b w:val="0"/>
                      <w:bCs/>
                      <w:kern w:val="2"/>
                      <w:sz w:val="21"/>
                      <w:szCs w:val="22"/>
                      <w:lang w:val="en-US" w:eastAsia="zh-CN" w:bidi="ar-SA"/>
                    </w:rPr>
                  </w:pPr>
                </w:p>
                <w:p w14:paraId="7B3B4A69">
                  <w:pPr>
                    <w:widowControl w:val="0"/>
                    <w:rPr>
                      <w:rFonts w:hint="eastAsia" w:ascii="黑体" w:hAnsi="黑体" w:eastAsia="黑体" w:cs="黑体"/>
                      <w:b w:val="0"/>
                      <w:bCs/>
                      <w:kern w:val="2"/>
                      <w:sz w:val="21"/>
                      <w:szCs w:val="22"/>
                      <w:lang w:val="en-US" w:eastAsia="zh-CN" w:bidi="ar-SA"/>
                    </w:rPr>
                  </w:pPr>
                </w:p>
                <w:p w14:paraId="72415BC4">
                  <w:pPr>
                    <w:widowControl w:val="0"/>
                    <w:rPr>
                      <w:rFonts w:hint="eastAsia" w:ascii="黑体" w:hAnsi="黑体" w:eastAsia="黑体" w:cs="黑体"/>
                      <w:b w:val="0"/>
                      <w:bCs/>
                      <w:kern w:val="2"/>
                      <w:sz w:val="21"/>
                      <w:szCs w:val="22"/>
                      <w:lang w:val="en-US" w:eastAsia="zh-CN" w:bidi="ar-SA"/>
                    </w:rPr>
                  </w:pPr>
                </w:p>
                <w:p w14:paraId="53665C5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汽车轮毂打磨去毛刺作业</w:t>
                  </w:r>
                </w:p>
              </w:tc>
              <w:tc>
                <w:tcPr>
                  <w:tcW w:w="679" w:type="dxa"/>
                  <w:vMerge w:val="restart"/>
                </w:tcPr>
                <w:p w14:paraId="52BB3B71">
                  <w:pPr>
                    <w:widowControl w:val="0"/>
                    <w:rPr>
                      <w:rFonts w:hint="eastAsia" w:ascii="黑体" w:hAnsi="黑体" w:eastAsia="黑体" w:cs="黑体"/>
                      <w:b w:val="0"/>
                      <w:bCs/>
                      <w:kern w:val="2"/>
                      <w:sz w:val="21"/>
                      <w:szCs w:val="22"/>
                      <w:lang w:val="en-US" w:eastAsia="zh-CN" w:bidi="ar-SA"/>
                    </w:rPr>
                  </w:pPr>
                </w:p>
                <w:p w14:paraId="0D0EFFE6">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数字素养</w:t>
                  </w:r>
                </w:p>
              </w:tc>
              <w:tc>
                <w:tcPr>
                  <w:tcW w:w="4306" w:type="dxa"/>
                  <w:gridSpan w:val="2"/>
                  <w:vAlign w:val="center"/>
                </w:tcPr>
                <w:p w14:paraId="233D8474">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信息收集方法</w:t>
                  </w:r>
                </w:p>
              </w:tc>
              <w:tc>
                <w:tcPr>
                  <w:tcW w:w="656" w:type="dxa"/>
                  <w:vAlign w:val="center"/>
                </w:tcPr>
                <w:p w14:paraId="7CD818D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28F3C5D3">
                  <w:pPr>
                    <w:widowControl w:val="0"/>
                    <w:rPr>
                      <w:rFonts w:hint="eastAsia" w:ascii="黑体" w:hAnsi="黑体" w:eastAsia="黑体" w:cs="黑体"/>
                      <w:b w:val="0"/>
                      <w:bCs/>
                      <w:kern w:val="2"/>
                      <w:sz w:val="21"/>
                      <w:szCs w:val="22"/>
                      <w:lang w:val="en-US" w:eastAsia="zh-CN" w:bidi="ar-SA"/>
                    </w:rPr>
                  </w:pPr>
                </w:p>
              </w:tc>
              <w:tc>
                <w:tcPr>
                  <w:tcW w:w="1130" w:type="dxa"/>
                  <w:vMerge w:val="restart"/>
                </w:tcPr>
                <w:p w14:paraId="15334729">
                  <w:pPr>
                    <w:widowControl w:val="0"/>
                    <w:rPr>
                      <w:rFonts w:hint="eastAsia" w:ascii="黑体" w:hAnsi="黑体" w:eastAsia="黑体" w:cs="黑体"/>
                      <w:b w:val="0"/>
                      <w:bCs/>
                      <w:kern w:val="2"/>
                      <w:sz w:val="21"/>
                      <w:szCs w:val="22"/>
                      <w:lang w:val="en-US" w:eastAsia="zh-CN" w:bidi="ar-SA"/>
                    </w:rPr>
                  </w:pPr>
                </w:p>
              </w:tc>
            </w:tr>
            <w:tr w14:paraId="1593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BFEEA45">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61DA58DE">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7D68211B">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信息收集情况</w:t>
                  </w:r>
                </w:p>
              </w:tc>
              <w:tc>
                <w:tcPr>
                  <w:tcW w:w="656" w:type="dxa"/>
                  <w:vAlign w:val="center"/>
                </w:tcPr>
                <w:p w14:paraId="66F89AC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196B1752">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4B75EBA2">
                  <w:pPr>
                    <w:widowControl w:val="0"/>
                    <w:rPr>
                      <w:rFonts w:hint="eastAsia" w:ascii="黑体" w:hAnsi="黑体" w:eastAsia="黑体" w:cs="黑体"/>
                      <w:b w:val="0"/>
                      <w:bCs/>
                      <w:kern w:val="2"/>
                      <w:sz w:val="21"/>
                      <w:szCs w:val="22"/>
                      <w:lang w:val="en-US" w:eastAsia="zh-CN" w:bidi="ar-SA"/>
                    </w:rPr>
                  </w:pPr>
                </w:p>
              </w:tc>
            </w:tr>
            <w:tr w14:paraId="35F0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44871BBC">
                  <w:pPr>
                    <w:widowControl w:val="0"/>
                    <w:rPr>
                      <w:rFonts w:hint="eastAsia" w:ascii="黑体" w:hAnsi="黑体" w:eastAsia="黑体" w:cs="黑体"/>
                      <w:b w:val="0"/>
                      <w:bCs/>
                      <w:kern w:val="2"/>
                      <w:sz w:val="21"/>
                      <w:szCs w:val="22"/>
                      <w:lang w:val="en-US" w:eastAsia="zh-CN" w:bidi="ar-SA"/>
                    </w:rPr>
                  </w:pPr>
                </w:p>
              </w:tc>
              <w:tc>
                <w:tcPr>
                  <w:tcW w:w="679" w:type="dxa"/>
                  <w:vMerge w:val="restart"/>
                </w:tcPr>
                <w:p w14:paraId="71134828">
                  <w:pPr>
                    <w:widowControl w:val="0"/>
                    <w:rPr>
                      <w:rFonts w:hint="eastAsia" w:ascii="黑体" w:hAnsi="黑体" w:eastAsia="黑体" w:cs="黑体"/>
                      <w:b w:val="0"/>
                      <w:bCs/>
                      <w:kern w:val="2"/>
                      <w:sz w:val="21"/>
                      <w:szCs w:val="22"/>
                      <w:lang w:val="en-US" w:eastAsia="zh-CN" w:bidi="ar-SA"/>
                    </w:rPr>
                  </w:pPr>
                </w:p>
                <w:p w14:paraId="1EE0225E">
                  <w:pPr>
                    <w:widowControl w:val="0"/>
                    <w:rPr>
                      <w:rFonts w:hint="eastAsia" w:ascii="黑体" w:hAnsi="黑体" w:eastAsia="黑体" w:cs="黑体"/>
                      <w:b w:val="0"/>
                      <w:bCs/>
                      <w:kern w:val="2"/>
                      <w:sz w:val="21"/>
                      <w:szCs w:val="22"/>
                      <w:lang w:val="en-US" w:eastAsia="zh-CN" w:bidi="ar-SA"/>
                    </w:rPr>
                  </w:pPr>
                </w:p>
                <w:p w14:paraId="12F16948">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工匠素养</w:t>
                  </w:r>
                </w:p>
              </w:tc>
              <w:tc>
                <w:tcPr>
                  <w:tcW w:w="4306" w:type="dxa"/>
                  <w:gridSpan w:val="2"/>
                  <w:vAlign w:val="center"/>
                </w:tcPr>
                <w:p w14:paraId="0DF08F13">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能够认真负责的推进任务</w:t>
                  </w:r>
                </w:p>
              </w:tc>
              <w:tc>
                <w:tcPr>
                  <w:tcW w:w="656" w:type="dxa"/>
                  <w:vAlign w:val="center"/>
                </w:tcPr>
                <w:p w14:paraId="47EDD50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3063E4C7">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231123FB">
                  <w:pPr>
                    <w:widowControl w:val="0"/>
                    <w:rPr>
                      <w:rFonts w:hint="eastAsia" w:ascii="黑体" w:hAnsi="黑体" w:eastAsia="黑体" w:cs="黑体"/>
                      <w:b w:val="0"/>
                      <w:bCs/>
                      <w:kern w:val="2"/>
                      <w:sz w:val="21"/>
                      <w:szCs w:val="22"/>
                      <w:lang w:val="en-US" w:eastAsia="zh-CN" w:bidi="ar-SA"/>
                    </w:rPr>
                  </w:pPr>
                </w:p>
              </w:tc>
            </w:tr>
            <w:tr w14:paraId="303D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3856271C">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6AB730F5">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01104E31">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能够开展有效的团队合作</w:t>
                  </w:r>
                </w:p>
              </w:tc>
              <w:tc>
                <w:tcPr>
                  <w:tcW w:w="656" w:type="dxa"/>
                  <w:vAlign w:val="center"/>
                </w:tcPr>
                <w:p w14:paraId="23948FE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2ABAC568">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56079D2C">
                  <w:pPr>
                    <w:widowControl w:val="0"/>
                    <w:rPr>
                      <w:rFonts w:hint="eastAsia" w:ascii="黑体" w:hAnsi="黑体" w:eastAsia="黑体" w:cs="黑体"/>
                      <w:b w:val="0"/>
                      <w:bCs/>
                      <w:kern w:val="2"/>
                      <w:sz w:val="21"/>
                      <w:szCs w:val="22"/>
                      <w:lang w:val="en-US" w:eastAsia="zh-CN" w:bidi="ar-SA"/>
                    </w:rPr>
                  </w:pPr>
                </w:p>
              </w:tc>
            </w:tr>
            <w:tr w14:paraId="101E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7B5750A7">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377DAB26">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73AE50C3">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遇到问题能够努力解决</w:t>
                  </w:r>
                </w:p>
              </w:tc>
              <w:tc>
                <w:tcPr>
                  <w:tcW w:w="656" w:type="dxa"/>
                  <w:vAlign w:val="center"/>
                </w:tcPr>
                <w:p w14:paraId="1575AA96">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5</w:t>
                  </w:r>
                </w:p>
              </w:tc>
              <w:tc>
                <w:tcPr>
                  <w:tcW w:w="795" w:type="dxa"/>
                  <w:vAlign w:val="top"/>
                </w:tcPr>
                <w:p w14:paraId="3F285868">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0CD63DA2">
                  <w:pPr>
                    <w:widowControl w:val="0"/>
                    <w:rPr>
                      <w:rFonts w:hint="eastAsia" w:ascii="黑体" w:hAnsi="黑体" w:eastAsia="黑体" w:cs="黑体"/>
                      <w:b w:val="0"/>
                      <w:bCs/>
                      <w:kern w:val="2"/>
                      <w:sz w:val="21"/>
                      <w:szCs w:val="22"/>
                      <w:lang w:val="en-US" w:eastAsia="zh-CN" w:bidi="ar-SA"/>
                    </w:rPr>
                  </w:pPr>
                </w:p>
              </w:tc>
            </w:tr>
            <w:tr w14:paraId="680E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483E2C2">
                  <w:pPr>
                    <w:widowControl w:val="0"/>
                    <w:rPr>
                      <w:rFonts w:hint="eastAsia" w:ascii="黑体" w:hAnsi="黑体" w:eastAsia="黑体" w:cs="黑体"/>
                      <w:b w:val="0"/>
                      <w:bCs/>
                      <w:kern w:val="2"/>
                      <w:sz w:val="21"/>
                      <w:szCs w:val="22"/>
                      <w:lang w:val="en-US" w:eastAsia="zh-CN" w:bidi="ar-SA"/>
                    </w:rPr>
                  </w:pPr>
                </w:p>
              </w:tc>
              <w:tc>
                <w:tcPr>
                  <w:tcW w:w="679" w:type="dxa"/>
                  <w:vMerge w:val="restart"/>
                </w:tcPr>
                <w:p w14:paraId="7B66BC04">
                  <w:pPr>
                    <w:widowControl w:val="0"/>
                    <w:rPr>
                      <w:rFonts w:hint="eastAsia" w:ascii="黑体" w:hAnsi="黑体" w:eastAsia="黑体" w:cs="黑体"/>
                      <w:b w:val="0"/>
                      <w:bCs/>
                      <w:kern w:val="2"/>
                      <w:sz w:val="21"/>
                      <w:szCs w:val="22"/>
                      <w:lang w:val="en-US" w:eastAsia="zh-CN" w:bidi="ar-SA"/>
                    </w:rPr>
                  </w:pPr>
                </w:p>
                <w:p w14:paraId="4AE38747">
                  <w:pPr>
                    <w:widowControl w:val="0"/>
                    <w:rPr>
                      <w:rFonts w:hint="eastAsia" w:ascii="黑体" w:hAnsi="黑体" w:eastAsia="黑体" w:cs="黑体"/>
                      <w:b w:val="0"/>
                      <w:bCs/>
                      <w:kern w:val="2"/>
                      <w:sz w:val="21"/>
                      <w:szCs w:val="22"/>
                      <w:lang w:val="en-US" w:eastAsia="zh-CN" w:bidi="ar-SA"/>
                    </w:rPr>
                  </w:pPr>
                </w:p>
                <w:p w14:paraId="74D9C9B5">
                  <w:pPr>
                    <w:widowControl w:val="0"/>
                    <w:rPr>
                      <w:rFonts w:hint="eastAsia" w:ascii="黑体" w:hAnsi="黑体" w:eastAsia="黑体" w:cs="黑体"/>
                      <w:b w:val="0"/>
                      <w:bCs/>
                      <w:kern w:val="2"/>
                      <w:sz w:val="21"/>
                      <w:szCs w:val="22"/>
                      <w:lang w:val="en-US" w:eastAsia="zh-CN" w:bidi="ar-SA"/>
                    </w:rPr>
                  </w:pPr>
                </w:p>
                <w:p w14:paraId="581C4172">
                  <w:pPr>
                    <w:widowControl w:val="0"/>
                    <w:rPr>
                      <w:rFonts w:hint="eastAsia" w:ascii="黑体" w:hAnsi="黑体" w:eastAsia="黑体" w:cs="黑体"/>
                      <w:b w:val="0"/>
                      <w:bCs/>
                      <w:kern w:val="2"/>
                      <w:sz w:val="21"/>
                      <w:szCs w:val="22"/>
                      <w:lang w:val="en-US" w:eastAsia="zh-CN" w:bidi="ar-SA"/>
                    </w:rPr>
                  </w:pPr>
                </w:p>
                <w:p w14:paraId="56264C53">
                  <w:pPr>
                    <w:widowControl w:val="0"/>
                    <w:rPr>
                      <w:rFonts w:hint="eastAsia" w:ascii="黑体" w:hAnsi="黑体" w:eastAsia="黑体" w:cs="黑体"/>
                      <w:b w:val="0"/>
                      <w:bCs/>
                      <w:kern w:val="2"/>
                      <w:sz w:val="21"/>
                      <w:szCs w:val="22"/>
                      <w:lang w:val="en-US" w:eastAsia="zh-CN" w:bidi="ar-SA"/>
                    </w:rPr>
                  </w:pPr>
                </w:p>
                <w:p w14:paraId="00E03C05">
                  <w:pPr>
                    <w:widowControl w:val="0"/>
                    <w:rPr>
                      <w:rFonts w:hint="eastAsia" w:ascii="黑体" w:hAnsi="黑体" w:eastAsia="黑体" w:cs="黑体"/>
                      <w:b w:val="0"/>
                      <w:bCs/>
                      <w:kern w:val="2"/>
                      <w:sz w:val="21"/>
                      <w:szCs w:val="22"/>
                      <w:lang w:val="en-US" w:eastAsia="zh-CN" w:bidi="ar-SA"/>
                    </w:rPr>
                  </w:pPr>
                </w:p>
                <w:p w14:paraId="258F654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技能素养</w:t>
                  </w:r>
                </w:p>
              </w:tc>
              <w:tc>
                <w:tcPr>
                  <w:tcW w:w="4306" w:type="dxa"/>
                  <w:gridSpan w:val="2"/>
                  <w:vAlign w:val="center"/>
                </w:tcPr>
                <w:p w14:paraId="10EB25A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按下程序运行，机器人能够从起始点移动至取 料点上方，并能够从取料点移动至放置点上方 取料。</w:t>
                  </w:r>
                </w:p>
              </w:tc>
              <w:tc>
                <w:tcPr>
                  <w:tcW w:w="656" w:type="dxa"/>
                  <w:vAlign w:val="center"/>
                </w:tcPr>
                <w:p w14:paraId="6211E11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15</w:t>
                  </w:r>
                </w:p>
              </w:tc>
              <w:tc>
                <w:tcPr>
                  <w:tcW w:w="795" w:type="dxa"/>
                  <w:vAlign w:val="top"/>
                </w:tcPr>
                <w:p w14:paraId="765A2074">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72FD80D0">
                  <w:pPr>
                    <w:widowControl w:val="0"/>
                    <w:rPr>
                      <w:rFonts w:hint="eastAsia" w:ascii="黑体" w:hAnsi="黑体" w:eastAsia="黑体" w:cs="黑体"/>
                      <w:b w:val="0"/>
                      <w:bCs/>
                      <w:kern w:val="2"/>
                      <w:sz w:val="21"/>
                      <w:szCs w:val="22"/>
                      <w:lang w:val="en-US" w:eastAsia="zh-CN" w:bidi="ar-SA"/>
                    </w:rPr>
                  </w:pPr>
                </w:p>
              </w:tc>
            </w:tr>
            <w:tr w14:paraId="0015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74E5B90">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07D6DE10">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27B71AD7">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机器人能够对轮毂正、反面进行打磨</w:t>
                  </w:r>
                </w:p>
              </w:tc>
              <w:tc>
                <w:tcPr>
                  <w:tcW w:w="656" w:type="dxa"/>
                  <w:vAlign w:val="center"/>
                </w:tcPr>
                <w:p w14:paraId="022699C9">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4E6C4AA4">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5B047B1C">
                  <w:pPr>
                    <w:widowControl w:val="0"/>
                    <w:rPr>
                      <w:rFonts w:hint="eastAsia" w:ascii="黑体" w:hAnsi="黑体" w:eastAsia="黑体" w:cs="黑体"/>
                      <w:b w:val="0"/>
                      <w:bCs/>
                      <w:kern w:val="2"/>
                      <w:sz w:val="21"/>
                      <w:szCs w:val="22"/>
                      <w:lang w:val="en-US" w:eastAsia="zh-CN" w:bidi="ar-SA"/>
                    </w:rPr>
                  </w:pPr>
                </w:p>
              </w:tc>
            </w:tr>
            <w:tr w14:paraId="3E52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247E8F2F">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164D5166">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6025575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机器人能够对轮毂正、反面进行吹屑</w:t>
                  </w:r>
                </w:p>
              </w:tc>
              <w:tc>
                <w:tcPr>
                  <w:tcW w:w="656" w:type="dxa"/>
                  <w:vAlign w:val="center"/>
                </w:tcPr>
                <w:p w14:paraId="097EB85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1E67C3FB">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3309C55D">
                  <w:pPr>
                    <w:widowControl w:val="0"/>
                    <w:rPr>
                      <w:rFonts w:hint="eastAsia" w:ascii="黑体" w:hAnsi="黑体" w:eastAsia="黑体" w:cs="黑体"/>
                      <w:b w:val="0"/>
                      <w:bCs/>
                      <w:kern w:val="2"/>
                      <w:sz w:val="21"/>
                      <w:szCs w:val="22"/>
                      <w:lang w:val="en-US" w:eastAsia="zh-CN" w:bidi="ar-SA"/>
                    </w:rPr>
                  </w:pPr>
                </w:p>
              </w:tc>
            </w:tr>
            <w:tr w14:paraId="59FD5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0284340F">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3FDF50EB">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0A34775B">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机器人能够把轮毂放置原点</w:t>
                  </w:r>
                </w:p>
              </w:tc>
              <w:tc>
                <w:tcPr>
                  <w:tcW w:w="656" w:type="dxa"/>
                  <w:vAlign w:val="center"/>
                </w:tcPr>
                <w:p w14:paraId="52C13D2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7C65FE82">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05530EE4">
                  <w:pPr>
                    <w:widowControl w:val="0"/>
                    <w:rPr>
                      <w:rFonts w:hint="eastAsia" w:ascii="黑体" w:hAnsi="黑体" w:eastAsia="黑体" w:cs="黑体"/>
                      <w:b w:val="0"/>
                      <w:bCs/>
                      <w:kern w:val="2"/>
                      <w:sz w:val="21"/>
                      <w:szCs w:val="22"/>
                      <w:lang w:val="en-US" w:eastAsia="zh-CN" w:bidi="ar-SA"/>
                    </w:rPr>
                  </w:pPr>
                </w:p>
              </w:tc>
            </w:tr>
            <w:tr w14:paraId="189DA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72453AC0">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000FB400">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3DD3D8C5">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机器人移动过程中速度与转弯半径符合要求</w:t>
                  </w:r>
                </w:p>
              </w:tc>
              <w:tc>
                <w:tcPr>
                  <w:tcW w:w="656" w:type="dxa"/>
                  <w:vAlign w:val="center"/>
                </w:tcPr>
                <w:p w14:paraId="3D99981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36BDE4BA">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186499FC">
                  <w:pPr>
                    <w:widowControl w:val="0"/>
                    <w:rPr>
                      <w:rFonts w:hint="eastAsia" w:ascii="黑体" w:hAnsi="黑体" w:eastAsia="黑体" w:cs="黑体"/>
                      <w:b w:val="0"/>
                      <w:bCs/>
                      <w:kern w:val="2"/>
                      <w:sz w:val="21"/>
                      <w:szCs w:val="22"/>
                      <w:lang w:val="en-US" w:eastAsia="zh-CN" w:bidi="ar-SA"/>
                    </w:rPr>
                  </w:pPr>
                </w:p>
              </w:tc>
            </w:tr>
            <w:tr w14:paraId="2D1F4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584CA631">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2B4EA58D">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4B9361BD">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机器人运行过程中未发生碰撞</w:t>
                  </w:r>
                </w:p>
              </w:tc>
              <w:tc>
                <w:tcPr>
                  <w:tcW w:w="656" w:type="dxa"/>
                  <w:vAlign w:val="center"/>
                </w:tcPr>
                <w:p w14:paraId="66F00B45">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144F13F9">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64ACE7BD">
                  <w:pPr>
                    <w:widowControl w:val="0"/>
                    <w:rPr>
                      <w:rFonts w:hint="eastAsia" w:ascii="黑体" w:hAnsi="黑体" w:eastAsia="黑体" w:cs="黑体"/>
                      <w:b w:val="0"/>
                      <w:bCs/>
                      <w:kern w:val="2"/>
                      <w:sz w:val="21"/>
                      <w:szCs w:val="22"/>
                      <w:lang w:val="en-US" w:eastAsia="zh-CN" w:bidi="ar-SA"/>
                    </w:rPr>
                  </w:pPr>
                </w:p>
              </w:tc>
            </w:tr>
            <w:tr w14:paraId="5741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tcPr>
                <w:p w14:paraId="15F25A56">
                  <w:pPr>
                    <w:widowControl w:val="0"/>
                    <w:rPr>
                      <w:rFonts w:hint="eastAsia" w:ascii="黑体" w:hAnsi="黑体" w:eastAsia="黑体" w:cs="黑体"/>
                      <w:b w:val="0"/>
                      <w:bCs/>
                      <w:kern w:val="2"/>
                      <w:sz w:val="21"/>
                      <w:szCs w:val="22"/>
                      <w:lang w:val="en-US" w:eastAsia="zh-CN" w:bidi="ar-SA"/>
                    </w:rPr>
                  </w:pPr>
                </w:p>
              </w:tc>
              <w:tc>
                <w:tcPr>
                  <w:tcW w:w="679" w:type="dxa"/>
                  <w:vMerge w:val="continue"/>
                </w:tcPr>
                <w:p w14:paraId="35A42EB3">
                  <w:pPr>
                    <w:widowControl w:val="0"/>
                    <w:rPr>
                      <w:rFonts w:hint="eastAsia" w:ascii="黑体" w:hAnsi="黑体" w:eastAsia="黑体" w:cs="黑体"/>
                      <w:b w:val="0"/>
                      <w:bCs/>
                      <w:kern w:val="2"/>
                      <w:sz w:val="21"/>
                      <w:szCs w:val="22"/>
                      <w:lang w:val="en-US" w:eastAsia="zh-CN" w:bidi="ar-SA"/>
                    </w:rPr>
                  </w:pPr>
                </w:p>
              </w:tc>
              <w:tc>
                <w:tcPr>
                  <w:tcW w:w="4306" w:type="dxa"/>
                  <w:gridSpan w:val="2"/>
                  <w:vAlign w:val="center"/>
                </w:tcPr>
                <w:p w14:paraId="411E9294">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机器人能够按照要求回到原点</w:t>
                  </w:r>
                </w:p>
              </w:tc>
              <w:tc>
                <w:tcPr>
                  <w:tcW w:w="656" w:type="dxa"/>
                  <w:vAlign w:val="center"/>
                </w:tcPr>
                <w:p w14:paraId="3AF1FA5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w:t>
                  </w:r>
                </w:p>
              </w:tc>
              <w:tc>
                <w:tcPr>
                  <w:tcW w:w="795" w:type="dxa"/>
                  <w:vAlign w:val="top"/>
                </w:tcPr>
                <w:p w14:paraId="4AD4C2BB">
                  <w:pPr>
                    <w:widowControl w:val="0"/>
                    <w:rPr>
                      <w:rFonts w:hint="eastAsia" w:ascii="黑体" w:hAnsi="黑体" w:eastAsia="黑体" w:cs="黑体"/>
                      <w:b w:val="0"/>
                      <w:bCs/>
                      <w:kern w:val="2"/>
                      <w:sz w:val="21"/>
                      <w:szCs w:val="22"/>
                      <w:lang w:val="en-US" w:eastAsia="zh-CN" w:bidi="ar-SA"/>
                    </w:rPr>
                  </w:pPr>
                </w:p>
              </w:tc>
              <w:tc>
                <w:tcPr>
                  <w:tcW w:w="1130" w:type="dxa"/>
                  <w:vMerge w:val="continue"/>
                </w:tcPr>
                <w:p w14:paraId="56E19801">
                  <w:pPr>
                    <w:widowControl w:val="0"/>
                    <w:rPr>
                      <w:rFonts w:hint="eastAsia" w:ascii="黑体" w:hAnsi="黑体" w:eastAsia="黑体" w:cs="黑体"/>
                      <w:b w:val="0"/>
                      <w:bCs/>
                      <w:kern w:val="2"/>
                      <w:sz w:val="21"/>
                      <w:szCs w:val="22"/>
                      <w:lang w:val="en-US" w:eastAsia="zh-CN" w:bidi="ar-SA"/>
                    </w:rPr>
                  </w:pPr>
                </w:p>
              </w:tc>
            </w:tr>
            <w:tr w14:paraId="7BB22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shd w:val="clear" w:color="auto" w:fill="D7D7D7" w:themeFill="background1" w:themeFillShade="D8"/>
                  <w:vAlign w:val="center"/>
                </w:tcPr>
                <w:p w14:paraId="4A98B61F">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考核</w:t>
                  </w:r>
                </w:p>
                <w:p w14:paraId="00C9D816">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主体</w:t>
                  </w:r>
                </w:p>
              </w:tc>
              <w:tc>
                <w:tcPr>
                  <w:tcW w:w="679" w:type="dxa"/>
                  <w:shd w:val="clear" w:color="auto" w:fill="D7D7D7" w:themeFill="background1" w:themeFillShade="D8"/>
                  <w:vAlign w:val="center"/>
                </w:tcPr>
                <w:p w14:paraId="69E5240E">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分值</w:t>
                  </w:r>
                </w:p>
              </w:tc>
              <w:tc>
                <w:tcPr>
                  <w:tcW w:w="921" w:type="dxa"/>
                  <w:shd w:val="clear" w:color="auto" w:fill="D7D7D7" w:themeFill="background1" w:themeFillShade="D8"/>
                  <w:vAlign w:val="center"/>
                </w:tcPr>
                <w:p w14:paraId="0EB7F741">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得分</w:t>
                  </w:r>
                </w:p>
              </w:tc>
              <w:tc>
                <w:tcPr>
                  <w:tcW w:w="3385" w:type="dxa"/>
                  <w:shd w:val="clear" w:color="auto" w:fill="D7D7D7" w:themeFill="background1" w:themeFillShade="D8"/>
                  <w:vAlign w:val="center"/>
                </w:tcPr>
                <w:p w14:paraId="2738DD9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存在的问题</w:t>
                  </w:r>
                </w:p>
              </w:tc>
              <w:tc>
                <w:tcPr>
                  <w:tcW w:w="2581" w:type="dxa"/>
                  <w:gridSpan w:val="3"/>
                  <w:shd w:val="clear" w:color="auto" w:fill="D7D7D7" w:themeFill="background1" w:themeFillShade="D8"/>
                  <w:vAlign w:val="center"/>
                </w:tcPr>
                <w:p w14:paraId="28FE0C55">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解决办法</w:t>
                  </w:r>
                </w:p>
              </w:tc>
            </w:tr>
            <w:tr w14:paraId="69678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3E9B8F4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指导教师评价</w:t>
                  </w:r>
                </w:p>
              </w:tc>
              <w:tc>
                <w:tcPr>
                  <w:tcW w:w="679" w:type="dxa"/>
                  <w:vAlign w:val="center"/>
                </w:tcPr>
                <w:p w14:paraId="0FB1A4BD">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6E7B6A68">
                  <w:pPr>
                    <w:widowControl w:val="0"/>
                    <w:rPr>
                      <w:rFonts w:hint="eastAsia" w:ascii="黑体" w:hAnsi="黑体" w:eastAsia="黑体" w:cs="黑体"/>
                      <w:b w:val="0"/>
                      <w:bCs/>
                      <w:kern w:val="2"/>
                      <w:sz w:val="21"/>
                      <w:szCs w:val="22"/>
                      <w:lang w:val="en-US" w:eastAsia="zh-CN" w:bidi="ar-SA"/>
                    </w:rPr>
                  </w:pPr>
                </w:p>
              </w:tc>
              <w:tc>
                <w:tcPr>
                  <w:tcW w:w="3385" w:type="dxa"/>
                </w:tcPr>
                <w:p w14:paraId="254A075C">
                  <w:pPr>
                    <w:widowControl w:val="0"/>
                    <w:rPr>
                      <w:rFonts w:hint="eastAsia" w:ascii="黑体" w:hAnsi="黑体" w:eastAsia="黑体" w:cs="黑体"/>
                      <w:b w:val="0"/>
                      <w:bCs/>
                      <w:kern w:val="2"/>
                      <w:sz w:val="21"/>
                      <w:szCs w:val="22"/>
                      <w:lang w:val="en-US" w:eastAsia="zh-CN" w:bidi="ar-SA"/>
                    </w:rPr>
                  </w:pPr>
                </w:p>
              </w:tc>
              <w:tc>
                <w:tcPr>
                  <w:tcW w:w="2581" w:type="dxa"/>
                  <w:gridSpan w:val="3"/>
                  <w:vAlign w:val="top"/>
                </w:tcPr>
                <w:p w14:paraId="01FA6527">
                  <w:pPr>
                    <w:widowControl w:val="0"/>
                    <w:rPr>
                      <w:rFonts w:hint="eastAsia" w:ascii="黑体" w:hAnsi="黑体" w:eastAsia="黑体" w:cs="黑体"/>
                      <w:b w:val="0"/>
                      <w:bCs/>
                      <w:kern w:val="2"/>
                      <w:sz w:val="21"/>
                      <w:szCs w:val="22"/>
                      <w:lang w:val="en-US" w:eastAsia="zh-CN" w:bidi="ar-SA"/>
                    </w:rPr>
                  </w:pPr>
                </w:p>
              </w:tc>
            </w:tr>
            <w:tr w14:paraId="5192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6CDCFD59">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企业教师评价</w:t>
                  </w:r>
                </w:p>
              </w:tc>
              <w:tc>
                <w:tcPr>
                  <w:tcW w:w="679" w:type="dxa"/>
                  <w:vAlign w:val="center"/>
                </w:tcPr>
                <w:p w14:paraId="59AB5A40">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1F1C68CF">
                  <w:pPr>
                    <w:widowControl w:val="0"/>
                    <w:rPr>
                      <w:rFonts w:hint="eastAsia" w:ascii="黑体" w:hAnsi="黑体" w:eastAsia="黑体" w:cs="黑体"/>
                      <w:b w:val="0"/>
                      <w:bCs/>
                      <w:kern w:val="2"/>
                      <w:sz w:val="21"/>
                      <w:szCs w:val="22"/>
                      <w:lang w:val="en-US" w:eastAsia="zh-CN" w:bidi="ar-SA"/>
                    </w:rPr>
                  </w:pPr>
                </w:p>
              </w:tc>
              <w:tc>
                <w:tcPr>
                  <w:tcW w:w="3385" w:type="dxa"/>
                </w:tcPr>
                <w:p w14:paraId="638F64EC">
                  <w:pPr>
                    <w:widowControl w:val="0"/>
                    <w:rPr>
                      <w:rFonts w:hint="eastAsia" w:ascii="黑体" w:hAnsi="黑体" w:eastAsia="黑体" w:cs="黑体"/>
                      <w:b w:val="0"/>
                      <w:bCs/>
                      <w:kern w:val="2"/>
                      <w:sz w:val="21"/>
                      <w:szCs w:val="22"/>
                      <w:lang w:val="en-US" w:eastAsia="zh-CN" w:bidi="ar-SA"/>
                    </w:rPr>
                  </w:pPr>
                </w:p>
              </w:tc>
              <w:tc>
                <w:tcPr>
                  <w:tcW w:w="2581" w:type="dxa"/>
                  <w:gridSpan w:val="3"/>
                  <w:vAlign w:val="top"/>
                </w:tcPr>
                <w:p w14:paraId="356457E8">
                  <w:pPr>
                    <w:widowControl w:val="0"/>
                    <w:rPr>
                      <w:rFonts w:hint="eastAsia" w:ascii="黑体" w:hAnsi="黑体" w:eastAsia="黑体" w:cs="黑体"/>
                      <w:b w:val="0"/>
                      <w:bCs/>
                      <w:kern w:val="2"/>
                      <w:sz w:val="21"/>
                      <w:szCs w:val="22"/>
                      <w:lang w:val="en-US" w:eastAsia="zh-CN" w:bidi="ar-SA"/>
                    </w:rPr>
                  </w:pPr>
                </w:p>
              </w:tc>
            </w:tr>
            <w:tr w14:paraId="1D4E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464B464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小组互评</w:t>
                  </w:r>
                </w:p>
              </w:tc>
              <w:tc>
                <w:tcPr>
                  <w:tcW w:w="679" w:type="dxa"/>
                  <w:vAlign w:val="center"/>
                </w:tcPr>
                <w:p w14:paraId="19BAA997">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16E6C9D9">
                  <w:pPr>
                    <w:widowControl w:val="0"/>
                    <w:rPr>
                      <w:rFonts w:hint="eastAsia" w:ascii="黑体" w:hAnsi="黑体" w:eastAsia="黑体" w:cs="黑体"/>
                      <w:b w:val="0"/>
                      <w:bCs/>
                      <w:kern w:val="2"/>
                      <w:sz w:val="21"/>
                      <w:szCs w:val="22"/>
                      <w:lang w:val="en-US" w:eastAsia="zh-CN" w:bidi="ar-SA"/>
                    </w:rPr>
                  </w:pPr>
                </w:p>
              </w:tc>
              <w:tc>
                <w:tcPr>
                  <w:tcW w:w="3385" w:type="dxa"/>
                </w:tcPr>
                <w:p w14:paraId="10EC1C79">
                  <w:pPr>
                    <w:widowControl w:val="0"/>
                    <w:rPr>
                      <w:rFonts w:hint="eastAsia" w:ascii="黑体" w:hAnsi="黑体" w:eastAsia="黑体" w:cs="黑体"/>
                      <w:b w:val="0"/>
                      <w:bCs/>
                      <w:kern w:val="2"/>
                      <w:sz w:val="21"/>
                      <w:szCs w:val="22"/>
                      <w:lang w:val="en-US" w:eastAsia="zh-CN" w:bidi="ar-SA"/>
                    </w:rPr>
                  </w:pPr>
                </w:p>
              </w:tc>
              <w:tc>
                <w:tcPr>
                  <w:tcW w:w="2581" w:type="dxa"/>
                  <w:gridSpan w:val="3"/>
                </w:tcPr>
                <w:p w14:paraId="736C8D85">
                  <w:pPr>
                    <w:widowControl w:val="0"/>
                    <w:rPr>
                      <w:rFonts w:hint="eastAsia" w:ascii="黑体" w:hAnsi="黑体" w:eastAsia="黑体" w:cs="黑体"/>
                      <w:b w:val="0"/>
                      <w:bCs/>
                      <w:kern w:val="2"/>
                      <w:sz w:val="21"/>
                      <w:szCs w:val="22"/>
                      <w:lang w:val="en-US" w:eastAsia="zh-CN" w:bidi="ar-SA"/>
                    </w:rPr>
                  </w:pPr>
                </w:p>
              </w:tc>
            </w:tr>
            <w:tr w14:paraId="5DBD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0AA529F0">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自评成绩</w:t>
                  </w:r>
                </w:p>
              </w:tc>
              <w:tc>
                <w:tcPr>
                  <w:tcW w:w="679" w:type="dxa"/>
                  <w:vAlign w:val="center"/>
                </w:tcPr>
                <w:p w14:paraId="699609AB">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40DD3DF3">
                  <w:pPr>
                    <w:widowControl w:val="0"/>
                    <w:rPr>
                      <w:rFonts w:hint="eastAsia" w:ascii="黑体" w:hAnsi="黑体" w:eastAsia="黑体" w:cs="黑体"/>
                      <w:b w:val="0"/>
                      <w:bCs/>
                      <w:kern w:val="2"/>
                      <w:sz w:val="21"/>
                      <w:szCs w:val="22"/>
                      <w:lang w:val="en-US" w:eastAsia="zh-CN" w:bidi="ar-SA"/>
                    </w:rPr>
                  </w:pPr>
                </w:p>
              </w:tc>
              <w:tc>
                <w:tcPr>
                  <w:tcW w:w="3385" w:type="dxa"/>
                </w:tcPr>
                <w:p w14:paraId="68F75F06">
                  <w:pPr>
                    <w:widowControl w:val="0"/>
                    <w:rPr>
                      <w:rFonts w:hint="eastAsia" w:ascii="黑体" w:hAnsi="黑体" w:eastAsia="黑体" w:cs="黑体"/>
                      <w:b w:val="0"/>
                      <w:bCs/>
                      <w:kern w:val="2"/>
                      <w:sz w:val="21"/>
                      <w:szCs w:val="22"/>
                      <w:lang w:val="en-US" w:eastAsia="zh-CN" w:bidi="ar-SA"/>
                    </w:rPr>
                  </w:pPr>
                </w:p>
              </w:tc>
              <w:tc>
                <w:tcPr>
                  <w:tcW w:w="2581" w:type="dxa"/>
                  <w:gridSpan w:val="3"/>
                </w:tcPr>
                <w:p w14:paraId="67E42B02">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增量评价（10~20分）：</w:t>
                  </w:r>
                </w:p>
              </w:tc>
            </w:tr>
            <w:tr w14:paraId="5A282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Align w:val="center"/>
                </w:tcPr>
                <w:p w14:paraId="686F267C">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总评</w:t>
                  </w:r>
                </w:p>
              </w:tc>
              <w:tc>
                <w:tcPr>
                  <w:tcW w:w="679" w:type="dxa"/>
                  <w:vAlign w:val="center"/>
                </w:tcPr>
                <w:p w14:paraId="0294120D">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100</w:t>
                  </w:r>
                </w:p>
              </w:tc>
              <w:tc>
                <w:tcPr>
                  <w:tcW w:w="921" w:type="dxa"/>
                </w:tcPr>
                <w:p w14:paraId="69EF7415">
                  <w:pPr>
                    <w:widowControl w:val="0"/>
                    <w:rPr>
                      <w:rFonts w:hint="eastAsia" w:ascii="黑体" w:hAnsi="黑体" w:eastAsia="黑体" w:cs="黑体"/>
                      <w:b w:val="0"/>
                      <w:bCs/>
                      <w:kern w:val="2"/>
                      <w:sz w:val="21"/>
                      <w:szCs w:val="22"/>
                      <w:lang w:val="en-US" w:eastAsia="zh-CN" w:bidi="ar-SA"/>
                    </w:rPr>
                  </w:pPr>
                </w:p>
              </w:tc>
              <w:tc>
                <w:tcPr>
                  <w:tcW w:w="3385" w:type="dxa"/>
                </w:tcPr>
                <w:p w14:paraId="09411147">
                  <w:pPr>
                    <w:widowControl w:val="0"/>
                    <w:rPr>
                      <w:rFonts w:hint="eastAsia" w:ascii="黑体" w:hAnsi="黑体" w:eastAsia="黑体" w:cs="黑体"/>
                      <w:b w:val="0"/>
                      <w:bCs/>
                      <w:kern w:val="2"/>
                      <w:sz w:val="21"/>
                      <w:szCs w:val="22"/>
                      <w:lang w:val="en-US" w:eastAsia="zh-CN" w:bidi="ar-SA"/>
                    </w:rPr>
                  </w:pPr>
                </w:p>
              </w:tc>
              <w:tc>
                <w:tcPr>
                  <w:tcW w:w="2581" w:type="dxa"/>
                  <w:gridSpan w:val="3"/>
                </w:tcPr>
                <w:p w14:paraId="6908F95A">
                  <w:pPr>
                    <w:widowControl w:val="0"/>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总评分成绩=（指导）教师评价×35%+企业教师评价×35%+小组互评×15%+自评成绩×15%+增量评价</w:t>
                  </w:r>
                </w:p>
              </w:tc>
            </w:tr>
          </w:tbl>
          <w:p w14:paraId="57D2992A">
            <w:pPr>
              <w:pStyle w:val="4"/>
              <w:keepNext w:val="0"/>
              <w:keepLines w:val="0"/>
              <w:pageBreakBefore w:val="0"/>
              <w:widowControl/>
              <w:kinsoku w:val="0"/>
              <w:wordWrap/>
              <w:overflowPunct/>
              <w:topLinePunct w:val="0"/>
              <w:autoSpaceDE w:val="0"/>
              <w:autoSpaceDN w:val="0"/>
              <w:bidi w:val="0"/>
              <w:adjustRightInd w:val="0"/>
              <w:snapToGrid w:val="0"/>
              <w:spacing w:before="23" w:line="240" w:lineRule="auto"/>
              <w:ind w:left="39" w:leftChars="0" w:hanging="39" w:hangingChars="19"/>
              <w:jc w:val="both"/>
              <w:textAlignment w:val="baseline"/>
              <w:outlineLvl w:val="9"/>
              <w:rPr>
                <w:rFonts w:hint="default" w:ascii="黑体" w:hAnsi="黑体" w:eastAsia="黑体" w:cs="黑体"/>
                <w:b w:val="0"/>
                <w:bCs/>
                <w:kern w:val="2"/>
                <w:sz w:val="21"/>
                <w:szCs w:val="22"/>
                <w:lang w:val="en-US" w:eastAsia="zh-CN" w:bidi="ar-SA"/>
              </w:rPr>
            </w:pPr>
          </w:p>
        </w:tc>
      </w:tr>
      <w:tr w14:paraId="7E38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1354" w:type="dxa"/>
            <w:vAlign w:val="center"/>
          </w:tcPr>
          <w:p w14:paraId="72E74C18">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教学过程</w:t>
            </w:r>
          </w:p>
        </w:tc>
        <w:tc>
          <w:tcPr>
            <w:tcW w:w="8466" w:type="dxa"/>
            <w:gridSpan w:val="3"/>
            <w:vAlign w:val="center"/>
          </w:tcPr>
          <w:p w14:paraId="0394673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一、任务导入（2学时-90分钟）</w:t>
            </w:r>
          </w:p>
          <w:p w14:paraId="0BD0BA4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1.情境引入（15分钟）</w:t>
            </w:r>
          </w:p>
          <w:p w14:paraId="59CCEB32">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播放一段汽车轮毂制造工厂的生产视频，展示工业机器人在汽车轮毂打磨去毛刺的全过程，包括机器人如何精准定位轮毂的毛刺位置，运用不同的打磨工具高效去除毛刺，以及对打磨后的轮毂进行质量检测。播放结束后，引导学生观察并思考工业机器人在打磨去毛刺过程中是如何精准控制打磨力度和角度的，以及面对不同形状和材质的轮毂，机器人如何快速切换打磨工艺。</w:t>
            </w:r>
          </w:p>
          <w:p w14:paraId="317A1399">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学生活动：认真观看视频，积极思考教师提出的问题，部分学生主动分享自己在视频中观察到的机器人打磨去毛刺特点，比如机器人在不同毛刺部位的打磨动作差异、打磨工具的更换时机等。</w:t>
            </w:r>
          </w:p>
          <w:p w14:paraId="51A9DE7F">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2.任务布置（30 分钟）</w:t>
            </w:r>
          </w:p>
          <w:p w14:paraId="7632168D">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展示本次任务的具体要求，设定一个模拟的汽车轮毂生产车间场景。要求学生利用工业机器人和打磨设备，对不同型号、材质的汽车轮毂进行打磨去毛刺处理。详细说明任务的关键指标。同时，介绍此任务与实际汽车轮毂制造生产环节的紧密联系，让学生明白任务的实际意义。</w:t>
            </w:r>
          </w:p>
          <w:p w14:paraId="1B89EAF5">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仔细聆听任务内容，记录关键信息，如任务场景、轮毂型号和材质特点、任务指标等。对任务有初步认知后，思考完成任务可能面临的挑战，如如何根据轮毂材质和形状选择合适的打磨工具和工艺参数、怎样控制机器人实现高精度的打磨去毛刺动作等。</w:t>
            </w:r>
          </w:p>
          <w:p w14:paraId="6F3C2811">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3.小组讨论（35 分钟）</w:t>
            </w:r>
          </w:p>
          <w:p w14:paraId="26DD07E6">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将学生分成若干小组，每组4-5人。鼓励学生围绕任务展开讨论，提示从工业机器人打磨去毛刺的原理、打磨工艺流程规划、可能用到的技术和工具等方面进行思考。在各小组讨论过程中，教师巡回观察，适时参与小组讨论，给予引导和启发，确保讨论方向的正确性。例如，引导学生思考在打磨复杂形状轮毂时，如何优化机器人的运动轨迹以提高打磨精度。</w:t>
            </w:r>
          </w:p>
          <w:p w14:paraId="7B55B52B">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积极交流想法，共同探讨完成任务的初步方案。例如，讨论如何根据轮毂的材质（铝合金、钢等）选择合适的打磨工具（砂轮、砂带等），以及如何规划机器人在不同打磨工序之间的切换流程。每个小组安排一名记录员，记录讨论过程中的重要观点和遇到的问题，如对某种新型轮毂材料的打磨工艺参数选择存在争议。</w:t>
            </w:r>
          </w:p>
          <w:p w14:paraId="253D2B2E">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4.总结引导（10 分钟）</w:t>
            </w:r>
          </w:p>
          <w:p w14:paraId="1773618D">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召集各小组代表发言，分享小组讨论的成果和遇到的疑问。对各小组的讨论情况进行总结，梳理出学生们普遍关注的问题，如打磨工艺参数的优化、机器人与打磨设备的协同配合等。强调这些问题将在后续的新知解析环节中逐步得到解决，激发学生对新知识的渴望。</w:t>
            </w:r>
          </w:p>
          <w:p w14:paraId="60A06B7E">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倾听各小组发言和教师总结，对比自己小组与其他小组的思路，进一步明确自己的疑问和学习重点，为接下来的学习做好准备。例如，学生明确了自己在打磨工具选择和工艺参数设定方面的知识欠缺，期待在后续学习中得到解答。</w:t>
            </w:r>
          </w:p>
          <w:p w14:paraId="1B469965">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二、新知解析（2学时-90分钟）</w:t>
            </w:r>
          </w:p>
          <w:p w14:paraId="3BA37F66">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1.工业机器人与打磨设备基础（15 分钟）</w:t>
            </w:r>
          </w:p>
          <w:p w14:paraId="3A4E01F2">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教师活动：运用 PPT 和动画，详细讲解工业机器人应用于汽车轮毂打磨去毛刺系统的组成部分，包括机器人本体、控制器、驱动器、末端执行器以及打磨设备的其他关键部件。结合实际案例，说明各部分的作用和相互关系，如控制器如何根据预设的打磨程序，通过驱动器精准控制机器人本体带动末端打磨工具，对轮毂进行打磨操作。同时，介绍汽车轮毂打磨去毛刺系统的整体工作原理，从打磨任务下达、机器人运动规划、2.打磨工具与轮毂接触打磨到打磨质量反馈的整个流程。</w:t>
            </w:r>
          </w:p>
          <w:p w14:paraId="755602B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学生活动：认真观看 PPT 和动画演示，结合教师讲解，理解汽车轮毂打磨去毛刺系统的组成和原理。对于难以理解的部分，如不同类型驱动器的工作差异，及时向教师提问，确保对基础知识的清晰掌握。</w:t>
            </w:r>
          </w:p>
          <w:p w14:paraId="27556CB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2.汽车轮毂打磨工艺与技术（30 分钟）</w:t>
            </w:r>
          </w:p>
          <w:p w14:paraId="5B826213">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深入讲解汽车轮毂打磨的基本工艺，如干磨工艺在去除较大毛刺时的高效性以及对环境的影响，湿磨工艺在保证打磨精度和表面质量方面的优势；讲解不同打磨工艺下，打磨速度、进给量、打磨时间等参数的设置原则和相互影响关系。通过实际打磨过程的视频演示，让学生直观感受不同工艺参数下的打磨效果。介绍针对不同轮毂材料的打磨技术要点，分析不同材料在打磨过程中的特性差异，如铝合金材质易产生粘屑，需要选择合适的切削液和打磨工具来解决。同时，提及先进打磨技术，如自动化柔性打磨在提高打磨效率和质量一致性方面的应用现状和发展趋势，拓宽学生的知识面。</w:t>
            </w:r>
          </w:p>
          <w:p w14:paraId="0098F7BD">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观察教师展示的打磨视频，思考不同工艺和参数在实际汽车轮毂打磨任务中的应用可能性。对于不同材料的打磨技术要点，结合之前布置的打磨任务，分析如何根据轮毂材料和设计要求选择合适的打磨工艺和参数。积极参与课堂互动，与教师和同学交流自己的想法，探讨在打磨复杂形状轮毂时工艺选择的最优方案。</w:t>
            </w:r>
          </w:p>
          <w:p w14:paraId="0F4099D1">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3.工业机器人打磨编程基础（45 分钟）</w:t>
            </w:r>
          </w:p>
          <w:p w14:paraId="3CEF9EE8">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介绍工业机器人在汽车轮毂打磨去毛刺中常用的编程语言。以本次任务可能使用的编程语言为例，讲解与机器人运动控制、打磨工艺控制相关的基本指令。通过简单的编程示例，演示如何控制机器人完成基本的打磨动作，如按照特定的路径对轮毂边缘进行打磨，以及在打磨过程中根据预设的打磨次数或时间，实现打磨工具的自动更换。同时，讲解如何通过编程实现机器人与打磨设备之间的协同工作，如机器人在接收到打磨设备的启动信号后，开始执行打磨动作。</w:t>
            </w:r>
          </w:p>
          <w:p w14:paraId="0DA74243">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学习编程语言的基本指令和编程逻辑，跟随教师的示例理解机器人编程与汽车轮毂打磨工艺结合的方式。尝试在笔记本上记录关键指令和代码结构，为后续的编程实践做准备，同时思考如何通过编程优化打磨流程，提高打磨精度和效率，比如在编程中如何实现对不同形状轮毂的自适应打磨。</w:t>
            </w:r>
          </w:p>
          <w:p w14:paraId="61FE95F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4、总结与答疑（10 分钟）</w:t>
            </w:r>
          </w:p>
          <w:p w14:paraId="187D1DDD">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对本次讲解的工业机器人与打磨设备基础、汽车轮毂打磨工艺与技术以及机器人打磨编程基础等知识进行系统总结，强调重点和难点内容，如机器人运动控制指令的应用、不同打磨工艺的参数选择技巧、编程中的逻辑判断和流程控制等。鼓励学生提出在学习过程中遇到的疑问，耐心解答学生的问题，确保学生对新知识有全面、深入的理解。</w:t>
            </w:r>
          </w:p>
          <w:p w14:paraId="6B94725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回顾所学知识，整理笔记，将自己的疑问向教师提出。在教师解答后，进一步完善自己的知识体系，加深对知识的理解和记忆，例如明确在编写复杂轮毂加工程序时如何避免编程错误，以及如何根据实际打磨效果调整编程参数。</w:t>
            </w:r>
          </w:p>
          <w:p w14:paraId="66E34C3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三、任务实施（4学时-1800分钟）</w:t>
            </w:r>
          </w:p>
          <w:p w14:paraId="3944EAD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1.方案细化（30分钟）</w:t>
            </w:r>
          </w:p>
          <w:p w14:paraId="1DF63912">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再次明确汽车轮毂打磨去毛刺的任务要求，引导各小组依据新知解析中的知识，对之前讨论的任务方案进行细化。提示学生从打磨工艺的精准选择、机器人运动轨迹的精细规划、打磨参数的合理设定等方面深入完善。例如，根据不同轮毂材料和形状，确定是采用干磨还是湿磨工艺，以及如何优化机器人在复杂曲面轮毂打磨时的运动轨迹。在各小组讨论期间，教师巡视指导，针对遇到困难的小组，如在选择打磨工具类型上犹豫不决的小组，提供针对性的建议和帮助。</w:t>
            </w:r>
          </w:p>
          <w:p w14:paraId="6E515FC6">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小组内成员结合新知识，深入探讨并细化任务方案。比如，确定针对铝合金轮毂采用湿磨工艺，并搭配金刚石砂轮进行打磨；详细规划机器人在轮毂不同部位打磨时的运动速度和路径，如在轮毂边缘打磨时降低速度以保证精度；设定打磨系统的关键参数，如打磨工具的转速、进给量等。将细化后的方案以书面形式整理，涵盖工艺流程图、关键参数表以及机器人运动轨迹示意图等。</w:t>
            </w:r>
          </w:p>
          <w:p w14:paraId="1049A09F">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2.编程实现（90分钟）</w:t>
            </w:r>
          </w:p>
          <w:p w14:paraId="35EEA5EA">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学生开始编程后，教师密切留意各小组的编程进度。对于编程过程中遭遇困难的学生或小组，及时给予技术支持，如协助解决编程语法错误，指导如何通过编程实现机器人打磨力度与打磨轨迹的协同控制。鼓励学生在编程时注重代码的规范性和可读性，合理添加注释，方便后续调试与维护。例如，展示规范的代码示例，讲解如何通过注释清晰说明关键代码段的功能。</w:t>
            </w:r>
          </w:p>
          <w:p w14:paraId="470521A1">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依照小组细化后的方案，分工协作开展编程工作。运用所学的工业机器人编程语言和指令，实现机器人按照预设的打磨工艺对汽车轮毂进行打磨去毛刺的功能。编程过程中，小组成员相互交流、检查代码，及时发现并解决问题，如机器人运动路径出现偏差的问题。对编写好的程序进行初步调试，观察机器人的打磨动作和打磨效果，记录出现的异常情况，如打磨表面不平整、毛刺未去除干净等。</w:t>
            </w:r>
          </w:p>
          <w:p w14:paraId="1250C6F7">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3.系统调试（30分钟）</w:t>
            </w:r>
          </w:p>
          <w:p w14:paraId="076762D4">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指导学生进行系统调试，包括硬件设备的连接与调试，如工业机器人与打磨设备的安装与校准，确保两者协同工作的精准度；以及软件系统的调试，如打磨工艺参数的优化、机器人运动控制程序的微调等。提醒学生在调试时仔细观察系统的运行状态，分析出现问题的原因，如打磨力度不均匀可能是由于机器人关节运动精度不足，或者是打磨工具安装不牢固。针对学生在调试中遇到的共性问题，如机器人在特定位置打磨效果不佳，进行集中讲解和指导。</w:t>
            </w:r>
          </w:p>
          <w:p w14:paraId="28C21E9E">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学生活动：逐步开展硬件和软件的调试工作。仔细观察系统运行情况，记录调试过程中的参数变化和出现的问题，如打磨工具磨损过快、机器人运动卡顿等。针对问题，从硬件和软件两方面进行分析，尝试不同的解决方法，如调整机器人关节的润滑度、优化编程中的运动控制算法等。反复调试，直至系统能够稳定运行，达到任务要求的打磨质量和效率标准。</w:t>
            </w:r>
          </w:p>
          <w:p w14:paraId="61615D60">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4.成果展示与总结（30分钟）</w:t>
            </w:r>
          </w:p>
          <w:p w14:paraId="66901EE5">
            <w:pPr>
              <w:ind w:firstLine="420" w:firstLineChars="200"/>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教师活动：各小组依次展示任务成果，每个小组有10 - 15分钟的展示时间，包括打磨后的轮毂成品展示和方案讲解。教师和其他小组成员认真观看展示，记录各小组的优点和不足。展示结束后，教师对各小组的成果进行评价，从任务完成情况、打磨工艺应用合理性、创新点、团队协作等方面进行全面点评，肯定学生的努力和取得的成绩，同时指出存在的问题和改进方向。最后，对整个汽车轮毂打磨去毛刺的教学内容进行总结，强化学生对重点知识和技能的掌握。</w:t>
            </w:r>
          </w:p>
          <w:p w14:paraId="7DA894CA">
            <w:pPr>
              <w:ind w:firstLine="420" w:firstLineChars="200"/>
              <w:jc w:val="left"/>
            </w:pPr>
            <w:r>
              <w:rPr>
                <w:rFonts w:hint="eastAsia" w:ascii="黑体" w:hAnsi="黑体" w:eastAsia="黑体" w:cs="黑体"/>
                <w:b w:val="0"/>
                <w:bCs/>
                <w:kern w:val="2"/>
                <w:sz w:val="21"/>
                <w:szCs w:val="22"/>
                <w:lang w:val="en-US" w:eastAsia="zh-CN" w:bidi="ar-SA"/>
              </w:rPr>
              <w:t>学生活动：各小组代表进行成果展示，清晰阐述任务方案、编程思路、调试过程以及最终的打磨成果。在其他小组展示时，认真倾听和观察，学习他人的优点。接受教师的评价，反思自己小组在任务实施过程中的不足之处，记录教师提出的改进建议。通过本次成果展示与总结，进一步提升对汽车轮毂打磨去毛刺的理解和实践能力。</w:t>
            </w:r>
            <w:bookmarkStart w:id="2" w:name="_GoBack"/>
            <w:bookmarkEnd w:id="2"/>
          </w:p>
        </w:tc>
      </w:tr>
      <w:tr w14:paraId="007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57DAF66D">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课后作业</w:t>
            </w:r>
          </w:p>
          <w:p w14:paraId="5B74EA11">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与评价</w:t>
            </w:r>
          </w:p>
        </w:tc>
        <w:tc>
          <w:tcPr>
            <w:tcW w:w="8466" w:type="dxa"/>
            <w:gridSpan w:val="3"/>
            <w:vAlign w:val="center"/>
          </w:tcPr>
          <w:p w14:paraId="4B35D82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一、作业任务</w:t>
            </w:r>
          </w:p>
          <w:p w14:paraId="3B8BBCC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bCs w:val="0"/>
                <w:kern w:val="2"/>
                <w:sz w:val="21"/>
                <w:szCs w:val="22"/>
                <w:lang w:val="en-US" w:eastAsia="zh-CN" w:bidi="ar-SA"/>
              </w:rPr>
              <w:t>1.理论知识巩固作业（必做，占总成绩 30%</w:t>
            </w:r>
            <w:r>
              <w:rPr>
                <w:rFonts w:hint="eastAsia" w:ascii="黑体" w:hAnsi="黑体" w:eastAsia="黑体" w:cs="黑体"/>
                <w:b w:val="0"/>
                <w:bCs/>
                <w:kern w:val="2"/>
                <w:sz w:val="21"/>
                <w:szCs w:val="22"/>
                <w:lang w:val="en-US" w:eastAsia="zh-CN" w:bidi="ar-SA"/>
              </w:rPr>
              <w:t>）</w:t>
            </w:r>
          </w:p>
          <w:p w14:paraId="5C3817A4">
            <w:pPr>
              <w:jc w:val="left"/>
              <w:rPr>
                <w:rFonts w:hint="default"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任务内容：课后习题。</w:t>
            </w:r>
          </w:p>
          <w:p w14:paraId="2ACA6669">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完成时间：课后一周内完成。</w:t>
            </w:r>
          </w:p>
          <w:p w14:paraId="55D19271">
            <w:pPr>
              <w:jc w:val="left"/>
              <w:rPr>
                <w:rFonts w:hint="eastAsia" w:ascii="黑体" w:hAnsi="黑体" w:eastAsia="黑体" w:cs="黑体"/>
                <w:b/>
                <w:bCs w:val="0"/>
                <w:kern w:val="2"/>
                <w:sz w:val="21"/>
                <w:szCs w:val="22"/>
                <w:lang w:val="en-US" w:eastAsia="zh-CN" w:bidi="ar-SA"/>
              </w:rPr>
            </w:pPr>
            <w:r>
              <w:rPr>
                <w:rFonts w:hint="eastAsia" w:ascii="黑体" w:hAnsi="黑体" w:eastAsia="黑体" w:cs="黑体"/>
                <w:b/>
                <w:bCs w:val="0"/>
                <w:kern w:val="2"/>
                <w:sz w:val="21"/>
                <w:szCs w:val="22"/>
                <w:lang w:val="en-US" w:eastAsia="zh-CN" w:bidi="ar-SA"/>
              </w:rPr>
              <w:t>2.实践操作拓展作业（必做，占总成绩 50%）</w:t>
            </w:r>
          </w:p>
          <w:p w14:paraId="64824B53">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内容：给定一个实际工业场景的模拟任务，要求学生以小组为单位（每组3-4人），利用视觉系统对轮毂进行分类，并使用工业机器人对轮毂进行分拣。同时，记录调试过程中的参数变化和遇到的问题及解决方法。</w:t>
            </w:r>
          </w:p>
          <w:p w14:paraId="781E196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完成时间：课后两周内完成，期间需安排一次小组讨论和中期检查，确保任务进度。</w:t>
            </w:r>
          </w:p>
          <w:p w14:paraId="180B6943">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二、考评安排</w:t>
            </w:r>
          </w:p>
          <w:p w14:paraId="26063175">
            <w:pPr>
              <w:jc w:val="left"/>
              <w:rPr>
                <w:rFonts w:hint="eastAsia" w:ascii="黑体" w:hAnsi="黑体" w:eastAsia="黑体" w:cs="黑体"/>
                <w:b/>
                <w:bCs w:val="0"/>
                <w:kern w:val="2"/>
                <w:sz w:val="21"/>
                <w:szCs w:val="22"/>
                <w:lang w:val="en-US" w:eastAsia="zh-CN" w:bidi="ar-SA"/>
              </w:rPr>
            </w:pPr>
            <w:r>
              <w:rPr>
                <w:rFonts w:hint="eastAsia" w:ascii="黑体" w:hAnsi="黑体" w:eastAsia="黑体" w:cs="黑体"/>
                <w:b/>
                <w:bCs w:val="0"/>
                <w:kern w:val="2"/>
                <w:sz w:val="21"/>
                <w:szCs w:val="22"/>
                <w:lang w:val="en-US" w:eastAsia="zh-CN" w:bidi="ar-SA"/>
              </w:rPr>
              <w:t>1.理论知识巩固作业考评</w:t>
            </w:r>
          </w:p>
          <w:p w14:paraId="54CB7214">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批改方式：教师统一批改，按照标准答案和评分细则进行打分。</w:t>
            </w:r>
          </w:p>
          <w:p w14:paraId="72FBEC3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评分标准：选择题、填空题主要考查基础知识的掌握，答案准确即可得分；简答题要求回答全面、逻辑清晰，根据要点完整性和阐述准确性打分；编程题根据程序的正确性、规范性、代码逻辑以及注释的完整性等方面进行评分。</w:t>
            </w:r>
          </w:p>
          <w:p w14:paraId="2782AB33">
            <w:pPr>
              <w:jc w:val="left"/>
              <w:rPr>
                <w:rFonts w:hint="eastAsia" w:ascii="黑体" w:hAnsi="黑体" w:eastAsia="黑体" w:cs="黑体"/>
                <w:b/>
                <w:bCs w:val="0"/>
                <w:kern w:val="2"/>
                <w:sz w:val="21"/>
                <w:szCs w:val="22"/>
                <w:lang w:val="en-US" w:eastAsia="zh-CN" w:bidi="ar-SA"/>
              </w:rPr>
            </w:pPr>
            <w:r>
              <w:rPr>
                <w:rFonts w:hint="eastAsia" w:ascii="黑体" w:hAnsi="黑体" w:eastAsia="黑体" w:cs="黑体"/>
                <w:b/>
                <w:bCs w:val="0"/>
                <w:kern w:val="2"/>
                <w:sz w:val="21"/>
                <w:szCs w:val="22"/>
                <w:lang w:val="en-US" w:eastAsia="zh-CN" w:bidi="ar-SA"/>
              </w:rPr>
              <w:t>2.实践操作拓展作业考评</w:t>
            </w:r>
          </w:p>
          <w:p w14:paraId="53DA592A">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考评方式：采用小组汇报展示和实际操作演示相结合的方式，由教师和其他小组同学共同参与评价。</w:t>
            </w:r>
          </w:p>
          <w:p w14:paraId="5C4AC00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评分标准：</w:t>
            </w:r>
          </w:p>
          <w:p w14:paraId="3AB81D78">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任务完成情况（40%）：机器人是否能够准确、高效地完成模拟生产线上的抓取和放置任务，动作的精准度和效率是否达到一定标准。</w:t>
            </w:r>
          </w:p>
          <w:p w14:paraId="617C03A3">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伺服轴调试过程（30%）：调试过程中参数调整的合理性，对伺服轴特性的理解和运用能力，能否根据实际情况分析和解决调试过程中出现的问题，记录是否详细准确。</w:t>
            </w:r>
          </w:p>
          <w:p w14:paraId="445ADF1C">
            <w:pPr>
              <w:jc w:val="left"/>
              <w:rPr>
                <w:rFonts w:hint="eastAsia" w:ascii="黑体" w:hAnsi="黑体" w:eastAsia="黑体" w:cs="黑体"/>
                <w:b w:val="0"/>
                <w:bCs/>
                <w:kern w:val="2"/>
                <w:sz w:val="21"/>
                <w:szCs w:val="22"/>
                <w:lang w:val="en-US" w:eastAsia="zh-CN" w:bidi="ar-SA"/>
              </w:rPr>
            </w:pPr>
            <w:r>
              <w:rPr>
                <w:rFonts w:hint="eastAsia" w:ascii="黑体" w:hAnsi="黑体" w:eastAsia="黑体" w:cs="黑体"/>
                <w:b w:val="0"/>
                <w:bCs/>
                <w:kern w:val="2"/>
                <w:sz w:val="21"/>
                <w:szCs w:val="22"/>
                <w:lang w:val="en-US" w:eastAsia="zh-CN" w:bidi="ar-SA"/>
              </w:rPr>
              <w:t>团队协作与沟通（20%）：小组内成员分工是否合理，协作是否顺畅，在汇报展示中团队成员的参与度和沟通效果。</w:t>
            </w:r>
          </w:p>
          <w:p w14:paraId="72D1679F">
            <w:pPr>
              <w:jc w:val="left"/>
            </w:pPr>
            <w:r>
              <w:rPr>
                <w:rFonts w:hint="eastAsia" w:ascii="黑体" w:hAnsi="黑体" w:eastAsia="黑体" w:cs="黑体"/>
                <w:b w:val="0"/>
                <w:bCs/>
                <w:kern w:val="2"/>
                <w:sz w:val="21"/>
                <w:szCs w:val="22"/>
                <w:lang w:val="en-US" w:eastAsia="zh-CN" w:bidi="ar-SA"/>
              </w:rPr>
              <w:t>汇报展示效果（10%）：汇报内容是否清晰、有条理，能够准确展示任务完成过程、调试方法和结果，演示过程操作熟练、讲解清晰。</w:t>
            </w:r>
          </w:p>
        </w:tc>
      </w:tr>
      <w:tr w14:paraId="35EA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354" w:type="dxa"/>
            <w:vAlign w:val="center"/>
          </w:tcPr>
          <w:p w14:paraId="6B7149D5">
            <w:pPr>
              <w:jc w:val="left"/>
              <w:rPr>
                <w:rFonts w:hint="eastAsia" w:ascii="黑体" w:hAnsi="黑体" w:eastAsia="黑体" w:cs="黑体"/>
                <w:b w:val="0"/>
                <w:bCs/>
                <w:lang w:val="en-US" w:eastAsia="zh-CN"/>
              </w:rPr>
            </w:pPr>
            <w:r>
              <w:rPr>
                <w:rFonts w:hint="eastAsia" w:ascii="黑体" w:hAnsi="黑体" w:eastAsia="黑体" w:cs="黑体"/>
                <w:b w:val="0"/>
                <w:bCs/>
                <w:lang w:val="en-US" w:eastAsia="zh-CN"/>
              </w:rPr>
              <w:t>总结与反思</w:t>
            </w:r>
          </w:p>
        </w:tc>
        <w:tc>
          <w:tcPr>
            <w:tcW w:w="8466" w:type="dxa"/>
            <w:gridSpan w:val="3"/>
            <w:vAlign w:val="center"/>
          </w:tcPr>
          <w:p w14:paraId="68AE392C">
            <w:pPr>
              <w:jc w:val="left"/>
            </w:pPr>
          </w:p>
        </w:tc>
      </w:tr>
    </w:tbl>
    <w:p w14:paraId="3B27280F"/>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FZLTZHK--GBK1-0">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FZLTCHK--GBK1-0">
    <w:altName w:val="ksdb"/>
    <w:panose1 w:val="00000000000000000000"/>
    <w:charset w:val="00"/>
    <w:family w:val="auto"/>
    <w:pitch w:val="default"/>
    <w:sig w:usb0="00000000" w:usb1="00000000" w:usb2="00000000" w:usb3="00000000" w:csb0="00000000" w:csb1="00000000"/>
  </w:font>
  <w:font w:name="FZLTXHK--GBK1-0">
    <w:altName w:val="ksdb"/>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3A01CD"/>
    <w:multiLevelType w:val="singleLevel"/>
    <w:tmpl w:val="DE3A01C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iZDIyNjM5MWVkNWU2NWNhNzY2NTRiNWZkY2MyNTYifQ=="/>
  </w:docVars>
  <w:rsids>
    <w:rsidRoot w:val="00972C96"/>
    <w:rsid w:val="0005121D"/>
    <w:rsid w:val="00053647"/>
    <w:rsid w:val="0009074C"/>
    <w:rsid w:val="00217DE0"/>
    <w:rsid w:val="00343936"/>
    <w:rsid w:val="004246CF"/>
    <w:rsid w:val="005C57B4"/>
    <w:rsid w:val="005F0EE1"/>
    <w:rsid w:val="006F5C90"/>
    <w:rsid w:val="006F5F90"/>
    <w:rsid w:val="007B78FA"/>
    <w:rsid w:val="007E1B64"/>
    <w:rsid w:val="007F12D6"/>
    <w:rsid w:val="008070D6"/>
    <w:rsid w:val="00853906"/>
    <w:rsid w:val="008E003B"/>
    <w:rsid w:val="009544D0"/>
    <w:rsid w:val="00972C96"/>
    <w:rsid w:val="009C463E"/>
    <w:rsid w:val="00A43EDB"/>
    <w:rsid w:val="00BB18AD"/>
    <w:rsid w:val="00BE781F"/>
    <w:rsid w:val="00BF5616"/>
    <w:rsid w:val="00D46E22"/>
    <w:rsid w:val="00D87842"/>
    <w:rsid w:val="00D94CDA"/>
    <w:rsid w:val="00DA7FF4"/>
    <w:rsid w:val="00DC092B"/>
    <w:rsid w:val="00E31E24"/>
    <w:rsid w:val="00E45F73"/>
    <w:rsid w:val="00E811BE"/>
    <w:rsid w:val="00EA257B"/>
    <w:rsid w:val="03EF2B13"/>
    <w:rsid w:val="0BD460C1"/>
    <w:rsid w:val="0C356AA6"/>
    <w:rsid w:val="13554E9C"/>
    <w:rsid w:val="16BB1643"/>
    <w:rsid w:val="22E66A75"/>
    <w:rsid w:val="250D7201"/>
    <w:rsid w:val="27484E85"/>
    <w:rsid w:val="3557659E"/>
    <w:rsid w:val="364F35F6"/>
    <w:rsid w:val="37ED7A3F"/>
    <w:rsid w:val="42402890"/>
    <w:rsid w:val="45031FD6"/>
    <w:rsid w:val="4A143551"/>
    <w:rsid w:val="4CCA695C"/>
    <w:rsid w:val="58632B7A"/>
    <w:rsid w:val="5A844484"/>
    <w:rsid w:val="5AFE6E6B"/>
    <w:rsid w:val="5E3941D5"/>
    <w:rsid w:val="6C603864"/>
    <w:rsid w:val="6DBD5C02"/>
    <w:rsid w:val="73913A62"/>
    <w:rsid w:val="73942E89"/>
    <w:rsid w:val="75FDA171"/>
    <w:rsid w:val="7B136D89"/>
    <w:rsid w:val="7FF7E065"/>
    <w:rsid w:val="BFFF1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仿宋" w:hAnsi="仿宋" w:eastAsia="仿宋" w:cs="仿宋"/>
      <w:sz w:val="20"/>
      <w:szCs w:val="20"/>
      <w:lang w:val="en-US" w:eastAsia="en-US" w:bidi="ar-SA"/>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6248</Words>
  <Characters>6364</Characters>
  <Lines>7</Lines>
  <Paragraphs>2</Paragraphs>
  <TotalTime>235</TotalTime>
  <ScaleCrop>false</ScaleCrop>
  <LinksUpToDate>false</LinksUpToDate>
  <CharactersWithSpaces>6396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2023-11-19T12:31:00Z</dcterms:created>
  <dc:creator>蒋建伟</dc:creator>
  <cp:lastModifiedBy>阿木</cp:lastModifiedBy>
  <dcterms:modified xsi:type="dcterms:W3CDTF">2025-02-18T08:08:56Z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5315785CAA6642DC824895F84AD04FD4_12</vt:lpwstr>
  </property>
  <property fmtid="{D5CDD505-2E9C-101B-9397-08002B2CF9AE}" pid="4" name="KSOTemplateDocerSaveRecord">
    <vt:lpwstr>eyJoZGlkIjoiZDhjNTRiM2EwODI0ZWFkZjY4YzI4MmI0YjY2YTU2YzYiLCJ1c2VySWQiOiIzMTQ3ODUwMzIifQ==</vt:lpwstr>
  </property>
</Properties>
</file>