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684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《工业机器人应用技术》教案</w:t>
      </w:r>
    </w:p>
    <w:p w14:paraId="7716CAAB">
      <w:pPr>
        <w:spacing w:line="240" w:lineRule="auto"/>
        <w:jc w:val="center"/>
        <w:rPr>
          <w:rFonts w:hint="eastAsia" w:ascii="黑体" w:hAnsi="黑体" w:eastAsia="黑体" w:cs="黑体"/>
          <w:b w:val="0"/>
          <w:bCs/>
          <w:sz w:val="28"/>
          <w:szCs w:val="28"/>
        </w:rPr>
      </w:pPr>
      <w:bookmarkStart w:id="0" w:name="_Toc17880"/>
      <w:bookmarkStart w:id="1" w:name="_Toc12445"/>
      <w:r>
        <w:rPr>
          <w:rFonts w:hint="eastAsia" w:asciiTheme="minorHAnsi" w:hAnsiTheme="minorHAnsi" w:eastAsiaTheme="minorEastAsia" w:cstheme="minorBidi"/>
          <w:snapToGrid/>
          <w:sz w:val="30"/>
          <w:szCs w:val="30"/>
          <w:highlight w:val="none"/>
          <w:lang w:eastAsia="zh-CN"/>
        </w:rPr>
        <w:t>项目</w:t>
      </w:r>
      <w:r>
        <w:rPr>
          <w:rFonts w:hint="eastAsia" w:cstheme="minorBidi"/>
          <w:snapToGrid/>
          <w:sz w:val="30"/>
          <w:szCs w:val="30"/>
          <w:highlight w:val="none"/>
          <w:lang w:val="en-US" w:eastAsia="zh-CN"/>
        </w:rPr>
        <w:t>3</w:t>
      </w:r>
      <w:r>
        <w:rPr>
          <w:rFonts w:hint="eastAsia" w:asciiTheme="minorHAnsi" w:hAnsiTheme="minorHAnsi" w:eastAsiaTheme="minorEastAsia" w:cstheme="minorBidi"/>
          <w:snapToGrid/>
          <w:sz w:val="30"/>
          <w:szCs w:val="30"/>
          <w:highlight w:val="none"/>
          <w:lang w:eastAsia="zh-CN"/>
        </w:rPr>
        <w:t xml:space="preserve"> </w:t>
      </w:r>
      <w:bookmarkEnd w:id="0"/>
      <w:bookmarkEnd w:id="1"/>
      <w:r>
        <w:rPr>
          <w:rFonts w:hint="eastAsia" w:asciiTheme="minorHAnsi" w:hAnsiTheme="minorHAnsi" w:eastAsiaTheme="minorEastAsia" w:cstheme="minorBidi"/>
          <w:snapToGrid/>
          <w:sz w:val="30"/>
          <w:szCs w:val="30"/>
          <w:highlight w:val="none"/>
          <w:lang w:eastAsia="zh-CN"/>
        </w:rPr>
        <w:t>汽车轮毂数控加工作业</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3634"/>
        <w:gridCol w:w="1111"/>
        <w:gridCol w:w="3721"/>
      </w:tblGrid>
      <w:tr w14:paraId="00ED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43383C90">
            <w:pPr>
              <w:jc w:val="left"/>
              <w:rPr>
                <w:b/>
              </w:rPr>
            </w:pPr>
            <w:r>
              <w:rPr>
                <w:rFonts w:hint="eastAsia" w:ascii="黑体" w:hAnsi="黑体" w:eastAsia="黑体" w:cs="黑体"/>
                <w:b w:val="0"/>
                <w:bCs/>
              </w:rPr>
              <w:t>授课日期</w:t>
            </w:r>
          </w:p>
        </w:tc>
        <w:tc>
          <w:tcPr>
            <w:tcW w:w="3634" w:type="dxa"/>
            <w:vAlign w:val="center"/>
          </w:tcPr>
          <w:p w14:paraId="605DB6DE">
            <w:pPr>
              <w:jc w:val="left"/>
              <w:rPr>
                <w:color w:val="A6A6A6" w:themeColor="background1" w:themeShade="A6"/>
              </w:rPr>
            </w:pPr>
          </w:p>
        </w:tc>
        <w:tc>
          <w:tcPr>
            <w:tcW w:w="1111" w:type="dxa"/>
            <w:vAlign w:val="center"/>
          </w:tcPr>
          <w:p w14:paraId="21631576">
            <w:pPr>
              <w:jc w:val="left"/>
              <w:rPr>
                <w:rFonts w:hint="default" w:eastAsiaTheme="minorEastAsia"/>
                <w:b/>
                <w:lang w:val="en-US" w:eastAsia="zh-CN"/>
              </w:rPr>
            </w:pPr>
            <w:r>
              <w:rPr>
                <w:rFonts w:hint="eastAsia" w:ascii="黑体" w:hAnsi="黑体" w:eastAsia="黑体" w:cs="黑体"/>
                <w:b w:val="0"/>
                <w:bCs/>
                <w:lang w:val="en-US" w:eastAsia="zh-CN"/>
              </w:rPr>
              <w:t>授课班级</w:t>
            </w:r>
          </w:p>
        </w:tc>
        <w:tc>
          <w:tcPr>
            <w:tcW w:w="3721" w:type="dxa"/>
            <w:vAlign w:val="center"/>
          </w:tcPr>
          <w:p w14:paraId="19FEF54F">
            <w:pPr>
              <w:jc w:val="left"/>
              <w:rPr>
                <w:b/>
              </w:rPr>
            </w:pPr>
          </w:p>
        </w:tc>
      </w:tr>
      <w:tr w14:paraId="4AA5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067674E2">
            <w:pPr>
              <w:jc w:val="left"/>
              <w:rPr>
                <w:rFonts w:hint="eastAsia"/>
                <w:b/>
              </w:rPr>
            </w:pPr>
            <w:r>
              <w:rPr>
                <w:rFonts w:hint="eastAsia" w:ascii="黑体" w:hAnsi="黑体" w:eastAsia="黑体" w:cs="黑体"/>
                <w:b w:val="0"/>
                <w:bCs/>
                <w:lang w:val="en-US" w:eastAsia="zh-CN"/>
              </w:rPr>
              <w:t>教案主题</w:t>
            </w:r>
          </w:p>
        </w:tc>
        <w:tc>
          <w:tcPr>
            <w:tcW w:w="8466" w:type="dxa"/>
            <w:gridSpan w:val="3"/>
            <w:vAlign w:val="center"/>
          </w:tcPr>
          <w:p w14:paraId="5A1A1C0B">
            <w:pPr>
              <w:jc w:val="left"/>
            </w:pPr>
            <w:r>
              <w:rPr>
                <w:rFonts w:hint="eastAsia" w:ascii="黑体" w:hAnsi="黑体" w:eastAsia="黑体" w:cs="黑体"/>
                <w:b w:val="0"/>
                <w:bCs/>
                <w:lang w:val="en-US" w:eastAsia="zh-CN"/>
              </w:rPr>
              <w:t xml:space="preserve">汽车轮毂数控加工作业 </w:t>
            </w:r>
          </w:p>
        </w:tc>
      </w:tr>
      <w:tr w14:paraId="4A55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3AD00986">
            <w:pPr>
              <w:jc w:val="left"/>
              <w:rPr>
                <w:b/>
              </w:rPr>
            </w:pPr>
            <w:r>
              <w:rPr>
                <w:rFonts w:hint="eastAsia" w:ascii="黑体" w:hAnsi="黑体" w:eastAsia="黑体" w:cs="黑体"/>
                <w:b w:val="0"/>
                <w:bCs/>
                <w:lang w:val="en-US" w:eastAsia="zh-CN"/>
              </w:rPr>
              <w:t>学时分配</w:t>
            </w:r>
          </w:p>
        </w:tc>
        <w:tc>
          <w:tcPr>
            <w:tcW w:w="3634" w:type="dxa"/>
            <w:vAlign w:val="center"/>
          </w:tcPr>
          <w:p w14:paraId="75CC1B82">
            <w:pPr>
              <w:jc w:val="left"/>
              <w:rPr>
                <w:rFonts w:hint="default"/>
                <w:color w:val="A6A6A6" w:themeColor="background1" w:themeShade="A6"/>
                <w:lang w:val="en-US"/>
              </w:rPr>
            </w:pPr>
            <w:r>
              <w:rPr>
                <w:rFonts w:hint="eastAsia" w:ascii="黑体" w:hAnsi="黑体" w:eastAsia="黑体" w:cs="黑体"/>
                <w:b w:val="0"/>
                <w:bCs/>
                <w:lang w:val="en-US" w:eastAsia="zh-CN"/>
              </w:rPr>
              <w:t>理实一体化教学8学时</w:t>
            </w:r>
          </w:p>
        </w:tc>
        <w:tc>
          <w:tcPr>
            <w:tcW w:w="1111" w:type="dxa"/>
            <w:vAlign w:val="center"/>
          </w:tcPr>
          <w:p w14:paraId="5419758B">
            <w:pPr>
              <w:jc w:val="left"/>
              <w:rPr>
                <w:b/>
              </w:rPr>
            </w:pPr>
            <w:r>
              <w:rPr>
                <w:rFonts w:hint="eastAsia" w:ascii="黑体" w:hAnsi="黑体" w:eastAsia="黑体" w:cs="黑体"/>
                <w:b w:val="0"/>
                <w:bCs/>
                <w:lang w:val="en-US" w:eastAsia="zh-CN"/>
              </w:rPr>
              <w:t>主讲教师</w:t>
            </w:r>
          </w:p>
        </w:tc>
        <w:tc>
          <w:tcPr>
            <w:tcW w:w="3721" w:type="dxa"/>
            <w:vAlign w:val="center"/>
          </w:tcPr>
          <w:p w14:paraId="57A1E373">
            <w:pPr>
              <w:jc w:val="left"/>
              <w:rPr>
                <w:b/>
              </w:rPr>
            </w:pPr>
          </w:p>
        </w:tc>
      </w:tr>
      <w:tr w14:paraId="0CE1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354" w:type="dxa"/>
            <w:vAlign w:val="center"/>
          </w:tcPr>
          <w:p w14:paraId="19886501">
            <w:pPr>
              <w:jc w:val="left"/>
              <w:rPr>
                <w:b/>
              </w:rPr>
            </w:pPr>
            <w:r>
              <w:rPr>
                <w:rFonts w:hint="eastAsia" w:ascii="黑体" w:hAnsi="黑体" w:eastAsia="黑体" w:cs="黑体"/>
                <w:b w:val="0"/>
                <w:bCs/>
                <w:lang w:val="en-US" w:eastAsia="zh-CN"/>
              </w:rPr>
              <w:t>教学目标</w:t>
            </w:r>
          </w:p>
        </w:tc>
        <w:tc>
          <w:tcPr>
            <w:tcW w:w="8466" w:type="dxa"/>
            <w:gridSpan w:val="3"/>
            <w:vAlign w:val="center"/>
          </w:tcPr>
          <w:p w14:paraId="327A7C8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1.知识目标：</w:t>
            </w:r>
          </w:p>
          <w:p w14:paraId="5FD52A9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（1）了解数控系统的组成。</w:t>
            </w:r>
          </w:p>
          <w:p w14:paraId="0DC2AE2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w:t>
            </w:r>
            <w:r>
              <w:rPr>
                <w:rFonts w:hint="eastAsia" w:ascii="黑体" w:hAnsi="黑体" w:eastAsia="黑体" w:cs="黑体"/>
                <w:b w:val="0"/>
                <w:bCs/>
                <w:kern w:val="2"/>
                <w:sz w:val="21"/>
                <w:szCs w:val="22"/>
                <w:lang w:val="en-US" w:eastAsia="zh-CN" w:bidi="ar-SA"/>
              </w:rPr>
              <w:t>了解数控系统I/O通信模块。</w:t>
            </w:r>
          </w:p>
          <w:p w14:paraId="6A6B39FC">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w:t>
            </w:r>
            <w:r>
              <w:rPr>
                <w:rFonts w:hint="eastAsia" w:ascii="黑体" w:hAnsi="黑体" w:eastAsia="黑体" w:cs="黑体"/>
                <w:b w:val="0"/>
                <w:bCs/>
                <w:kern w:val="2"/>
                <w:sz w:val="21"/>
                <w:szCs w:val="22"/>
                <w:lang w:val="en-US" w:eastAsia="zh-CN" w:bidi="ar-SA"/>
              </w:rPr>
              <w:t>熟悉数控系统控制方式。</w:t>
            </w:r>
          </w:p>
          <w:p w14:paraId="2453F3A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掌握面板操作单元及机床控制面板的组成。</w:t>
            </w:r>
          </w:p>
          <w:p w14:paraId="6272500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）掌握</w:t>
            </w:r>
            <w:r>
              <w:rPr>
                <w:rFonts w:hint="eastAsia" w:ascii="黑体" w:hAnsi="黑体" w:eastAsia="黑体" w:cs="黑体"/>
                <w:b w:val="0"/>
                <w:bCs/>
                <w:kern w:val="2"/>
                <w:sz w:val="21"/>
                <w:szCs w:val="22"/>
                <w:lang w:val="en-US" w:eastAsia="zh-CN" w:bidi="ar-SA"/>
              </w:rPr>
              <w:t>数控加工</w:t>
            </w:r>
            <w:r>
              <w:rPr>
                <w:rFonts w:hint="default" w:ascii="黑体" w:hAnsi="黑体" w:eastAsia="黑体" w:cs="黑体"/>
                <w:b w:val="0"/>
                <w:bCs/>
                <w:kern w:val="2"/>
                <w:sz w:val="21"/>
                <w:szCs w:val="22"/>
                <w:lang w:val="en-US" w:eastAsia="zh-CN" w:bidi="ar-SA"/>
              </w:rPr>
              <w:t>的程序编制</w:t>
            </w:r>
            <w:r>
              <w:rPr>
                <w:rFonts w:hint="eastAsia" w:ascii="黑体" w:hAnsi="黑体" w:eastAsia="黑体" w:cs="黑体"/>
                <w:b w:val="0"/>
                <w:bCs/>
                <w:kern w:val="2"/>
                <w:sz w:val="21"/>
                <w:szCs w:val="22"/>
                <w:lang w:val="en-US" w:eastAsia="zh-CN" w:bidi="ar-SA"/>
              </w:rPr>
              <w:t>方法。</w:t>
            </w:r>
          </w:p>
          <w:p w14:paraId="2E63D4D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2.技能目标：</w:t>
            </w:r>
          </w:p>
          <w:p w14:paraId="05AF7F6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（1）能够设置数控加工系统的通信。</w:t>
            </w:r>
          </w:p>
          <w:p w14:paraId="5B49643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w:t>
            </w:r>
            <w:r>
              <w:rPr>
                <w:rFonts w:hint="eastAsia" w:ascii="黑体" w:hAnsi="黑体" w:eastAsia="黑体" w:cs="黑体"/>
                <w:b w:val="0"/>
                <w:bCs/>
                <w:kern w:val="2"/>
                <w:sz w:val="21"/>
                <w:szCs w:val="22"/>
                <w:lang w:val="en-US" w:eastAsia="zh-CN" w:bidi="ar-SA"/>
              </w:rPr>
              <w:t>能够编制机器人与数控加工系统的通信程序。</w:t>
            </w:r>
          </w:p>
          <w:p w14:paraId="12F475E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w:t>
            </w:r>
            <w:r>
              <w:rPr>
                <w:rFonts w:hint="eastAsia" w:ascii="黑体" w:hAnsi="黑体" w:eastAsia="黑体" w:cs="黑体"/>
                <w:b w:val="0"/>
                <w:bCs/>
                <w:kern w:val="2"/>
                <w:sz w:val="21"/>
                <w:szCs w:val="22"/>
                <w:lang w:val="en-US" w:eastAsia="zh-CN" w:bidi="ar-SA"/>
              </w:rPr>
              <w:t>能够进行轮毂状态检测的程序编制。</w:t>
            </w:r>
          </w:p>
          <w:p w14:paraId="1086858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能够</w:t>
            </w:r>
            <w:r>
              <w:rPr>
                <w:rFonts w:hint="default" w:ascii="黑体" w:hAnsi="黑体" w:eastAsia="黑体" w:cs="黑体"/>
                <w:b w:val="0"/>
                <w:bCs/>
                <w:kern w:val="2"/>
                <w:sz w:val="21"/>
                <w:szCs w:val="22"/>
                <w:lang w:val="en-US" w:eastAsia="zh-CN" w:bidi="ar-SA"/>
              </w:rPr>
              <w:t>实现</w:t>
            </w:r>
            <w:r>
              <w:rPr>
                <w:rFonts w:hint="eastAsia" w:ascii="黑体" w:hAnsi="黑体" w:eastAsia="黑体" w:cs="黑体"/>
                <w:b w:val="0"/>
                <w:bCs/>
                <w:kern w:val="2"/>
                <w:sz w:val="21"/>
                <w:szCs w:val="22"/>
                <w:lang w:val="en-US" w:eastAsia="zh-CN" w:bidi="ar-SA"/>
              </w:rPr>
              <w:t>数控加工</w:t>
            </w:r>
            <w:r>
              <w:rPr>
                <w:rFonts w:hint="default" w:ascii="黑体" w:hAnsi="黑体" w:eastAsia="黑体" w:cs="黑体"/>
                <w:b w:val="0"/>
                <w:bCs/>
                <w:kern w:val="2"/>
                <w:sz w:val="21"/>
                <w:szCs w:val="22"/>
                <w:lang w:val="en-US" w:eastAsia="zh-CN" w:bidi="ar-SA"/>
              </w:rPr>
              <w:t>的程序编写及调试</w:t>
            </w:r>
            <w:r>
              <w:rPr>
                <w:rFonts w:hint="eastAsia" w:ascii="黑体" w:hAnsi="黑体" w:eastAsia="黑体" w:cs="黑体"/>
                <w:b w:val="0"/>
                <w:bCs/>
                <w:kern w:val="2"/>
                <w:sz w:val="21"/>
                <w:szCs w:val="22"/>
                <w:lang w:val="en-US" w:eastAsia="zh-CN" w:bidi="ar-SA"/>
              </w:rPr>
              <w:t>。</w:t>
            </w:r>
          </w:p>
          <w:p w14:paraId="2241DD0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能够完成视觉系统程序设计。</w:t>
            </w:r>
          </w:p>
          <w:p w14:paraId="3613A91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3.素质目标：</w:t>
            </w:r>
          </w:p>
          <w:p w14:paraId="27F1A54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（1）养成安全与环保责任意识。</w:t>
            </w:r>
          </w:p>
          <w:p w14:paraId="655D8C5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（2）树立探索精神和求职能力。</w:t>
            </w:r>
          </w:p>
          <w:p w14:paraId="25363E0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（3）提高严谨求实、认真负责、踏实敬业的工作态度。</w:t>
            </w:r>
          </w:p>
          <w:p w14:paraId="276E44F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树立行业责任感的理想。</w:t>
            </w:r>
          </w:p>
          <w:p w14:paraId="0E582D19">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提高团队协作的能力。</w:t>
            </w:r>
          </w:p>
          <w:p w14:paraId="6CBAF7B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pP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6</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提高动手、动脑和勇于创新的积极性能力。</w:t>
            </w:r>
          </w:p>
        </w:tc>
      </w:tr>
      <w:tr w14:paraId="554D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7C13F901">
            <w:pPr>
              <w:jc w:val="left"/>
              <w:rPr>
                <w:b/>
              </w:rPr>
            </w:pPr>
            <w:r>
              <w:rPr>
                <w:rFonts w:hint="eastAsia" w:ascii="黑体" w:hAnsi="黑体" w:eastAsia="黑体" w:cs="黑体"/>
                <w:b w:val="0"/>
                <w:bCs/>
                <w:lang w:val="en-US" w:eastAsia="zh-CN"/>
              </w:rPr>
              <w:t>教学重点</w:t>
            </w:r>
          </w:p>
        </w:tc>
        <w:tc>
          <w:tcPr>
            <w:tcW w:w="8466" w:type="dxa"/>
            <w:gridSpan w:val="3"/>
            <w:vAlign w:val="center"/>
          </w:tcPr>
          <w:p w14:paraId="4451111C">
            <w:pPr>
              <w:jc w:val="left"/>
            </w:pPr>
            <w:r>
              <w:rPr>
                <w:rFonts w:hint="eastAsia" w:ascii="黑体" w:hAnsi="黑体" w:eastAsia="黑体" w:cs="黑体"/>
                <w:b w:val="0"/>
                <w:bCs/>
                <w:kern w:val="2"/>
                <w:sz w:val="21"/>
                <w:szCs w:val="22"/>
                <w:lang w:val="en-US" w:eastAsia="zh-CN" w:bidi="ar-SA"/>
              </w:rPr>
              <w:t>机器人与数控加工系统的基本通信方式。</w:t>
            </w:r>
          </w:p>
        </w:tc>
      </w:tr>
      <w:tr w14:paraId="2B7E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64BA2DD7">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教学难点</w:t>
            </w:r>
          </w:p>
        </w:tc>
        <w:tc>
          <w:tcPr>
            <w:tcW w:w="8466" w:type="dxa"/>
            <w:gridSpan w:val="3"/>
            <w:vAlign w:val="center"/>
          </w:tcPr>
          <w:p w14:paraId="43B8A529">
            <w:pPr>
              <w:jc w:val="left"/>
            </w:pPr>
            <w:r>
              <w:rPr>
                <w:rFonts w:hint="eastAsia" w:ascii="黑体" w:hAnsi="黑体" w:eastAsia="黑体" w:cs="黑体"/>
                <w:b w:val="0"/>
                <w:bCs/>
                <w:kern w:val="2"/>
                <w:sz w:val="21"/>
                <w:szCs w:val="22"/>
                <w:lang w:val="en-US" w:eastAsia="zh-CN" w:bidi="ar-SA"/>
              </w:rPr>
              <w:t>机器人程序设计</w:t>
            </w:r>
          </w:p>
        </w:tc>
      </w:tr>
      <w:tr w14:paraId="4650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8" w:hRule="atLeast"/>
        </w:trPr>
        <w:tc>
          <w:tcPr>
            <w:tcW w:w="1354" w:type="dxa"/>
            <w:vAlign w:val="center"/>
          </w:tcPr>
          <w:p w14:paraId="7936BC38">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教学设计</w:t>
            </w:r>
          </w:p>
          <w:p w14:paraId="3FB8F4A5">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思路</w:t>
            </w:r>
          </w:p>
        </w:tc>
        <w:tc>
          <w:tcPr>
            <w:tcW w:w="8466" w:type="dxa"/>
            <w:gridSpan w:val="3"/>
            <w:vAlign w:val="center"/>
          </w:tcPr>
          <w:p w14:paraId="6E5854F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一、本单元教学内容重塑</w:t>
            </w:r>
          </w:p>
          <w:p w14:paraId="1F8B397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重塑原则与方法</w:t>
            </w:r>
          </w:p>
          <w:p w14:paraId="6D255FFA">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原则：工业机器人在汽车轮毂数控加工中的应用日益广泛，成为推动该领域发展的关键技术。企业需要员工熟练掌握机器人编程以实现精确的加工路径控制，以及对加工过程中出现的异常情况进行快速诊断与处理。因此，教学内容应围绕这些岗位核心能力展开，培养学生的岗位胜任力</w:t>
            </w:r>
            <w:r>
              <w:rPr>
                <w:rFonts w:hint="eastAsia" w:ascii="黑体" w:hAnsi="黑体" w:eastAsia="黑体" w:cs="黑体"/>
                <w:b w:val="0"/>
                <w:bCs/>
                <w:kern w:val="2"/>
                <w:sz w:val="21"/>
                <w:szCs w:val="22"/>
                <w:lang w:val="en-US" w:eastAsia="zh-CN" w:bidi="ar-SA"/>
              </w:rPr>
              <w:t>。</w:t>
            </w:r>
          </w:p>
          <w:p w14:paraId="013FBB85">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方法</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从工业机器人的基本结构、工作原理，到数控加工的工艺基础，再到两者在汽车轮毂加工中的具体应用，每个知识点都应在框架中有明确的位置与逻辑关联。例如，先讲解工业机器人的运动学原理，让学生理解机器人如何实现空间运动，再引入在轮毂加工中如何根据加工要求规划机器人运动轨迹的内容，使学生逐步建立起完整的知识脉络。</w:t>
            </w:r>
          </w:p>
          <w:p w14:paraId="234687B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内容结构</w:t>
            </w:r>
          </w:p>
          <w:p w14:paraId="1EB4E45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基础理论</w:t>
            </w:r>
          </w:p>
          <w:p w14:paraId="5169039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工业机器人基础：工业机器人的结构、分类、运动学原理。</w:t>
            </w:r>
          </w:p>
          <w:p w14:paraId="773EC7D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数控系统基础：数控系统的组成、数控系统 I/O 通信模块</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数控系统控制方式。</w:t>
            </w:r>
          </w:p>
          <w:p w14:paraId="1D99064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自动化控制基础：PLC 控制原理、传感器应用基础。</w:t>
            </w:r>
          </w:p>
          <w:p w14:paraId="529F0B6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数控内置PLC的编写</w:t>
            </w:r>
          </w:p>
          <w:p w14:paraId="4AE9148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数控</w:t>
            </w:r>
            <w:r>
              <w:rPr>
                <w:rFonts w:hint="default" w:ascii="黑体" w:hAnsi="黑体" w:eastAsia="黑体" w:cs="黑体"/>
                <w:b w:val="0"/>
                <w:bCs/>
                <w:kern w:val="2"/>
                <w:sz w:val="21"/>
                <w:szCs w:val="22"/>
                <w:lang w:val="en-US" w:eastAsia="zh-CN" w:bidi="ar-SA"/>
              </w:rPr>
              <w:t>控制单元PPU</w:t>
            </w:r>
            <w:r>
              <w:rPr>
                <w:rFonts w:hint="default" w:ascii="黑体" w:hAnsi="黑体" w:eastAsia="黑体" w:cs="黑体"/>
                <w:b w:val="0"/>
                <w:bCs/>
                <w:kern w:val="2"/>
                <w:sz w:val="21"/>
                <w:szCs w:val="22"/>
                <w:lang w:val="en-US" w:eastAsia="zh-CN" w:bidi="ar-SA"/>
              </w:rPr>
              <w:t>：PPU 是整个数控系统的核心，它将 HMI、PC 键盘、CNC、数控系统 PLC 等集于一体</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 xml:space="preserve"> PPU 主要实现对机床伺服轴的控制</w:t>
            </w:r>
            <w:r>
              <w:rPr>
                <w:rFonts w:hint="default" w:ascii="黑体" w:hAnsi="黑体" w:eastAsia="黑体" w:cs="黑体"/>
                <w:b w:val="0"/>
                <w:bCs/>
                <w:kern w:val="2"/>
                <w:sz w:val="21"/>
                <w:szCs w:val="22"/>
                <w:lang w:val="en-US" w:eastAsia="zh-CN" w:bidi="ar-SA"/>
              </w:rPr>
              <w:t>。</w:t>
            </w:r>
          </w:p>
          <w:p w14:paraId="46DB1DC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数控</w:t>
            </w:r>
            <w:r>
              <w:rPr>
                <w:rFonts w:hint="eastAsia" w:ascii="黑体" w:hAnsi="黑体" w:eastAsia="黑体" w:cs="黑体"/>
                <w:b w:val="0"/>
                <w:bCs/>
                <w:kern w:val="2"/>
                <w:sz w:val="21"/>
                <w:szCs w:val="22"/>
                <w:lang w:val="en-US" w:eastAsia="zh-CN" w:bidi="ar-SA"/>
              </w:rPr>
              <w:t>内置PLC</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数控内置</w:t>
            </w:r>
            <w:r>
              <w:rPr>
                <w:rFonts w:hint="default" w:ascii="黑体" w:hAnsi="黑体" w:eastAsia="黑体" w:cs="黑体"/>
                <w:b w:val="0"/>
                <w:bCs/>
                <w:kern w:val="2"/>
                <w:sz w:val="21"/>
                <w:szCs w:val="22"/>
                <w:lang w:val="en-US" w:eastAsia="zh-CN" w:bidi="ar-SA"/>
              </w:rPr>
              <w:t xml:space="preserve"> PLC</w:t>
            </w:r>
            <w:r>
              <w:rPr>
                <w:rFonts w:hint="eastAsia" w:ascii="黑体" w:hAnsi="黑体" w:eastAsia="黑体" w:cs="黑体"/>
                <w:b w:val="0"/>
                <w:bCs/>
                <w:kern w:val="2"/>
                <w:sz w:val="21"/>
                <w:szCs w:val="22"/>
                <w:lang w:val="en-US" w:eastAsia="zh-CN" w:bidi="ar-SA"/>
              </w:rPr>
              <w:t>通过</w:t>
            </w:r>
            <w:r>
              <w:rPr>
                <w:rFonts w:hint="default" w:ascii="黑体" w:hAnsi="黑体" w:eastAsia="黑体" w:cs="黑体"/>
                <w:b w:val="0"/>
                <w:bCs/>
                <w:kern w:val="2"/>
                <w:sz w:val="21"/>
                <w:szCs w:val="22"/>
                <w:lang w:val="en-US" w:eastAsia="zh-CN" w:bidi="ar-SA"/>
              </w:rPr>
              <w:t>Programming Tool编程工具进行编程</w:t>
            </w:r>
            <w:r>
              <w:rPr>
                <w:rFonts w:hint="default" w:ascii="黑体" w:hAnsi="黑体" w:eastAsia="黑体" w:cs="黑体"/>
                <w:b w:val="0"/>
                <w:bCs/>
                <w:kern w:val="2"/>
                <w:sz w:val="21"/>
                <w:szCs w:val="22"/>
                <w:lang w:val="en-US" w:eastAsia="zh-CN" w:bidi="ar-SA"/>
              </w:rPr>
              <w:t>。</w:t>
            </w:r>
          </w:p>
          <w:p w14:paraId="1048513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（3）加工</w:t>
            </w:r>
            <w:r>
              <w:rPr>
                <w:rFonts w:hint="default" w:ascii="黑体" w:hAnsi="黑体" w:eastAsia="黑体" w:cs="黑体"/>
                <w:b w:val="0"/>
                <w:bCs/>
                <w:kern w:val="2"/>
                <w:sz w:val="21"/>
                <w:szCs w:val="22"/>
                <w:lang w:val="en-US" w:eastAsia="zh-CN" w:bidi="ar-SA"/>
              </w:rPr>
              <w:t>作业编程</w:t>
            </w:r>
          </w:p>
          <w:p w14:paraId="0C13C57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机器人编程基础：工业机器人编程语言及指令系统。</w:t>
            </w:r>
          </w:p>
          <w:p w14:paraId="435A1A2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加工单元基础</w:t>
            </w:r>
            <w:r>
              <w:rPr>
                <w:rFonts w:hint="default" w:ascii="黑体" w:hAnsi="黑体" w:eastAsia="黑体" w:cs="黑体"/>
                <w:b w:val="0"/>
                <w:bCs/>
                <w:kern w:val="2"/>
                <w:sz w:val="21"/>
                <w:szCs w:val="22"/>
                <w:lang w:val="en-US" w:eastAsia="zh-CN" w:bidi="ar-SA"/>
              </w:rPr>
              <w:t>：结合</w:t>
            </w:r>
            <w:r>
              <w:rPr>
                <w:rFonts w:hint="eastAsia" w:ascii="黑体" w:hAnsi="黑体" w:eastAsia="黑体" w:cs="黑体"/>
                <w:b w:val="0"/>
                <w:bCs/>
                <w:kern w:val="2"/>
                <w:sz w:val="21"/>
                <w:szCs w:val="22"/>
                <w:lang w:val="en-US" w:eastAsia="zh-CN" w:bidi="ar-SA"/>
              </w:rPr>
              <w:t>传感器的信息</w:t>
            </w:r>
            <w:r>
              <w:rPr>
                <w:rFonts w:hint="default" w:ascii="黑体" w:hAnsi="黑体" w:eastAsia="黑体" w:cs="黑体"/>
                <w:b w:val="0"/>
                <w:bCs/>
                <w:kern w:val="2"/>
                <w:sz w:val="21"/>
                <w:szCs w:val="22"/>
                <w:lang w:val="en-US" w:eastAsia="zh-CN" w:bidi="ar-SA"/>
              </w:rPr>
              <w:t>，编写机器人</w:t>
            </w:r>
            <w:r>
              <w:rPr>
                <w:rFonts w:hint="eastAsia" w:ascii="黑体" w:hAnsi="黑体" w:eastAsia="黑体" w:cs="黑体"/>
                <w:b w:val="0"/>
                <w:bCs/>
                <w:kern w:val="2"/>
                <w:sz w:val="21"/>
                <w:szCs w:val="22"/>
                <w:lang w:val="en-US" w:eastAsia="zh-CN" w:bidi="ar-SA"/>
              </w:rPr>
              <w:t>加工</w:t>
            </w:r>
            <w:r>
              <w:rPr>
                <w:rFonts w:hint="default" w:ascii="黑体" w:hAnsi="黑体" w:eastAsia="黑体" w:cs="黑体"/>
                <w:b w:val="0"/>
                <w:bCs/>
                <w:kern w:val="2"/>
                <w:sz w:val="21"/>
                <w:szCs w:val="22"/>
                <w:lang w:val="en-US" w:eastAsia="zh-CN" w:bidi="ar-SA"/>
              </w:rPr>
              <w:t>动作程序，实现精准</w:t>
            </w:r>
            <w:r>
              <w:rPr>
                <w:rFonts w:hint="eastAsia" w:ascii="黑体" w:hAnsi="黑体" w:eastAsia="黑体" w:cs="黑体"/>
                <w:b w:val="0"/>
                <w:bCs/>
                <w:kern w:val="2"/>
                <w:sz w:val="21"/>
                <w:szCs w:val="22"/>
                <w:lang w:val="en-US" w:eastAsia="zh-CN" w:bidi="ar-SA"/>
              </w:rPr>
              <w:t>加工</w:t>
            </w:r>
            <w:r>
              <w:rPr>
                <w:rFonts w:hint="default" w:ascii="黑体" w:hAnsi="黑体" w:eastAsia="黑体" w:cs="黑体"/>
                <w:b w:val="0"/>
                <w:bCs/>
                <w:kern w:val="2"/>
                <w:sz w:val="21"/>
                <w:szCs w:val="22"/>
                <w:lang w:val="en-US" w:eastAsia="zh-CN" w:bidi="ar-SA"/>
              </w:rPr>
              <w:t>。</w:t>
            </w:r>
          </w:p>
          <w:p w14:paraId="7C07A6B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系统集成与调试</w:t>
            </w:r>
          </w:p>
          <w:p w14:paraId="7D42857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系统搭建：工业机器人、</w:t>
            </w:r>
            <w:r>
              <w:rPr>
                <w:rFonts w:hint="eastAsia" w:ascii="黑体" w:hAnsi="黑体" w:eastAsia="黑体" w:cs="黑体"/>
                <w:b w:val="0"/>
                <w:bCs/>
                <w:kern w:val="2"/>
                <w:sz w:val="21"/>
                <w:szCs w:val="22"/>
                <w:lang w:val="en-US" w:eastAsia="zh-CN" w:bidi="ar-SA"/>
              </w:rPr>
              <w:t>PLC</w:t>
            </w:r>
            <w:r>
              <w:rPr>
                <w:rFonts w:hint="default" w:ascii="黑体" w:hAnsi="黑体" w:eastAsia="黑体" w:cs="黑体"/>
                <w:b w:val="0"/>
                <w:bCs/>
                <w:kern w:val="2"/>
                <w:sz w:val="21"/>
                <w:szCs w:val="22"/>
                <w:lang w:val="en-US" w:eastAsia="zh-CN" w:bidi="ar-SA"/>
              </w:rPr>
              <w:t>、</w:t>
            </w:r>
            <w:r>
              <w:rPr>
                <w:rFonts w:hint="eastAsia" w:ascii="黑体" w:hAnsi="黑体" w:eastAsia="黑体" w:cs="黑体"/>
                <w:b w:val="0"/>
                <w:bCs/>
                <w:kern w:val="2"/>
                <w:sz w:val="21"/>
                <w:szCs w:val="22"/>
                <w:lang w:val="en-US" w:eastAsia="zh-CN" w:bidi="ar-SA"/>
              </w:rPr>
              <w:t>加工单元</w:t>
            </w:r>
            <w:r>
              <w:rPr>
                <w:rFonts w:hint="default" w:ascii="黑体" w:hAnsi="黑体" w:eastAsia="黑体" w:cs="黑体"/>
                <w:b w:val="0"/>
                <w:bCs/>
                <w:kern w:val="2"/>
                <w:sz w:val="21"/>
                <w:szCs w:val="22"/>
                <w:lang w:val="en-US" w:eastAsia="zh-CN" w:bidi="ar-SA"/>
              </w:rPr>
              <w:t>硬件的连接与集成。</w:t>
            </w:r>
          </w:p>
          <w:p w14:paraId="58CD3D89">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系统调试与优化：调试过程中的常见问题及解决方法，优化系统性能，提高分拣效率与准确率。</w:t>
            </w:r>
          </w:p>
          <w:p w14:paraId="2CA61E36">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二、教学资源</w:t>
            </w:r>
          </w:p>
          <w:p w14:paraId="0B7B357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教学视频</w:t>
            </w:r>
          </w:p>
          <w:p w14:paraId="1DCDA1A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   针对汽车轮毂数控加工关键知识点和实践操作环节，制作一系列自建视频。例如展示工业机器人在汽车轮毂钻孔、铣面、打磨等工序的实操演示，以及机器人针对不同规格轮毂的编程全过程，还有汽车轮毂数控加工系统集成与调试步骤讲解等。这些视频紧密结合实际教学需求，能有效辅助学生理解和掌握重难点内容。</w:t>
            </w:r>
          </w:p>
          <w:p w14:paraId="776B1B6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案例库</w:t>
            </w:r>
          </w:p>
          <w:p w14:paraId="4CC80360">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210" w:firstLineChars="1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收集汽车轮毂制造企业实际生产案例，如不同品牌汽车轮毂加工工艺改进案例、新型材料轮毂加工案例等。详细分析案例背景、企业面临的加工难题、解决方案以及实施过程中的经验教训，引导学生从实际案例中学习知识和方法。</w:t>
            </w:r>
          </w:p>
          <w:p w14:paraId="09D4CFA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习题库</w:t>
            </w:r>
          </w:p>
          <w:p w14:paraId="702AF3B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210" w:firstLineChars="1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题型设置：涵盖选择题、填空题、简答题、编程题和案例分析题等多种题型。选择题和填空题主要考查学生对工业机器人应用于汽车轮毂数控加工的基础知识，如机器人坐标系、数控编程基础指令等的掌握情况；简答题用于检测学生对汽车轮毂加工工艺原理、刀具选择原则等重要概念的理解；编程题要求学生运用所学编程语言实现汽车轮毂特定加工路径规划与动作控制；案例分析题则通过给定汽车轮毂加工实际问题，培养学生分析和解决实际问题的能力。</w:t>
            </w:r>
          </w:p>
          <w:p w14:paraId="168A0F4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实验项目库</w:t>
            </w:r>
          </w:p>
          <w:p w14:paraId="4E67B62C">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210" w:firstLineChars="1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基础实验：</w:t>
            </w:r>
            <w:r>
              <w:rPr>
                <w:rFonts w:hint="eastAsia" w:ascii="黑体" w:hAnsi="黑体" w:eastAsia="黑体" w:cs="黑体"/>
                <w:b w:val="0"/>
                <w:bCs/>
                <w:kern w:val="2"/>
                <w:sz w:val="21"/>
                <w:szCs w:val="22"/>
                <w:lang w:val="en-US" w:eastAsia="zh-CN" w:bidi="ar-SA"/>
              </w:rPr>
              <w:t>例如 “工业机器人在汽车轮毂简单加工操作实验”，让学生熟悉工业机器人在轮毂初步加工中的基本操作，以及 “汽车轮毂数控加工工艺参数设定实验”，帮助学生掌握根据轮毂材料、形状设定合适切削参数的方法。</w:t>
            </w:r>
          </w:p>
          <w:p w14:paraId="3384B11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210" w:firstLineChars="1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综合实验：</w:t>
            </w:r>
            <w:r>
              <w:rPr>
                <w:rFonts w:hint="eastAsia" w:ascii="黑体" w:hAnsi="黑体" w:eastAsia="黑体" w:cs="黑体"/>
                <w:b w:val="0"/>
                <w:bCs/>
                <w:kern w:val="2"/>
                <w:sz w:val="21"/>
                <w:szCs w:val="22"/>
                <w:lang w:val="en-US" w:eastAsia="zh-CN" w:bidi="ar-SA"/>
              </w:rPr>
              <w:t>开展 “汽车轮毂多工序数控加工综合实验”，要求学生将多种加工工艺（如车削、钻孔、铣削）与工业机器人操作相结合，完成一个完整的汽车轮毂加工任务，培养学生的综合应用能力。</w:t>
            </w:r>
          </w:p>
          <w:p w14:paraId="1C32DEA9">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210" w:firstLineChars="1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拓展实验：</w:t>
            </w:r>
            <w:r>
              <w:rPr>
                <w:rFonts w:hint="eastAsia" w:ascii="黑体" w:hAnsi="黑体" w:eastAsia="黑体" w:cs="黑体"/>
                <w:b w:val="0"/>
                <w:bCs/>
                <w:kern w:val="2"/>
                <w:sz w:val="21"/>
                <w:szCs w:val="22"/>
                <w:lang w:val="en-US" w:eastAsia="zh-CN" w:bidi="ar-SA"/>
              </w:rPr>
              <w:t>设计 “基于人工智能优化汽车轮毂加工效率实验”，鼓励学生探索前沿技术在汽车轮毂加工领域的应用，如利用机器学习算法优化加工参数，提升学生的创新能力 。</w:t>
            </w:r>
          </w:p>
          <w:p w14:paraId="08B66FF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三、教学流程及方法</w:t>
            </w:r>
          </w:p>
          <w:p w14:paraId="61FA11E0">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教学流程</w:t>
            </w:r>
          </w:p>
          <w:p w14:paraId="283C40F4">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课程导入：播放汽车轮毂制造企业中工业机器人进行汽车轮毂加工的视频，展示机器人在轮毂钻孔、铣面、打磨等工序中高效、精准的作业场景，引发学生兴趣。提出如 “如何通过编程让机器人精准完成复杂的轮毂曲面加工？” 等问题，引导学生思考汽车轮毂加工的实现原理和关键技术。</w:t>
            </w:r>
          </w:p>
          <w:p w14:paraId="01DD6454">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知识讲解：结合 PPT、动画、视频等多种教学手段，系统讲解工业机器人应用于汽车轮毂数控加工的基础理论，如机器人运动学原理、数控编程基础；技术方法，包括汽车轮毂加工工艺制定、刀具选择；以及编程知识，像机器人编程语言在轮毂加工路径规划中的应用。讲解过程中融入实际案例，如某汽车轮毂制造企业改进加工工艺后效率提升的案例，帮助学生理解抽象概念。</w:t>
            </w:r>
          </w:p>
          <w:p w14:paraId="0F59B521">
            <w:pPr>
              <w:keepNext w:val="0"/>
              <w:keepLines w:val="0"/>
              <w:widowControl/>
              <w:suppressLineNumbers w:val="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案例分析：选取典型的基于问题学习（PBL）和基于案例学习（CBL）案例进行深入分析。例如，分析某企业在新型铝合金轮毂加工中遇到的变形问题及解决方法，引导学生从案例中学习解决实际问题的思路和方法，培养学生的工程思维能力。</w:t>
            </w:r>
          </w:p>
          <w:p w14:paraId="3CDBB62C">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p>
          <w:p w14:paraId="5FDE8010">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实践操作：学生在实验室进行实验项目操作，按照从基础实验到综合实验再到拓展实验的顺序逐步提升实践能力。先进行 “工业机器人在汽车轮毂简单加工操作实验”“汽车轮毂数控加工工艺参数设定实验” 等基础实验，熟悉基本操作和参数设定；再开展 “汽车轮毂多工序数控加工综合实验”，将多种加工工艺与机器人操作结合；最后进行 “基于人工智能优化汽车轮毂加工效率实验” 等拓展实验。教师在实践过程中巡回指导，及时解决学生遇到的问题。</w:t>
            </w:r>
          </w:p>
          <w:p w14:paraId="3E19F7C2">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总结评价：学生对实验结果进行总结汇报，分享学习收获和遇到的问题及解决方法。教师对学生的学习成果进行评价，从实验操作规范、加工精度、创新思路等方面进行打分和点评。总结课程重点知识和技能，如工业机器人在汽车轮毂加工中的编程要点、加工工艺优化方向等，强调安全操作、质量控制等注意事项，为后续学习和实践提供指导。</w:t>
            </w:r>
          </w:p>
          <w:p w14:paraId="2E3746A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 教学方法</w:t>
            </w:r>
          </w:p>
          <w:p w14:paraId="2F92AD27">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（1）讲授法：</w:t>
            </w:r>
            <w:r>
              <w:rPr>
                <w:rFonts w:hint="default" w:ascii="黑体" w:hAnsi="黑体" w:eastAsia="黑体" w:cs="黑体"/>
                <w:b w:val="0"/>
                <w:bCs/>
                <w:kern w:val="2"/>
                <w:sz w:val="21"/>
                <w:szCs w:val="22"/>
                <w:lang w:val="en-US" w:eastAsia="zh-CN" w:bidi="ar-SA"/>
              </w:rPr>
              <w:t>在讲解工业机器人结构、汽车轮毂加工工艺原理等理论知识时，采用讲授法，确保学生掌握基本概念和原理。</w:t>
            </w:r>
          </w:p>
          <w:p w14:paraId="6AC457D3">
            <w:pPr>
              <w:keepNext w:val="0"/>
              <w:keepLines w:val="0"/>
              <w:widowControl/>
              <w:suppressLineNumbers w:val="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（2）案例教学法：</w:t>
            </w:r>
            <w:r>
              <w:rPr>
                <w:rFonts w:hint="default" w:ascii="黑体" w:hAnsi="黑体" w:eastAsia="黑体" w:cs="黑体"/>
                <w:b w:val="0"/>
                <w:bCs/>
                <w:kern w:val="2"/>
                <w:sz w:val="21"/>
                <w:szCs w:val="22"/>
                <w:lang w:val="en-US" w:eastAsia="zh-CN" w:bidi="ar-SA"/>
              </w:rPr>
              <w:t>通过分析不同品牌汽车轮毂加工工艺改进案例、新型材料轮毂加工案例等实际案例，加深学生对知识的理解和应用，引导学生思考案例中的技术创新点和可借鉴之处。</w:t>
            </w:r>
          </w:p>
          <w:p w14:paraId="7A34DC48">
            <w:pPr>
              <w:keepNext w:val="0"/>
              <w:keepLines w:val="0"/>
              <w:widowControl/>
              <w:suppressLineNumbers w:val="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（3）小组合作学习法：</w:t>
            </w:r>
            <w:r>
              <w:rPr>
                <w:rFonts w:hint="default" w:ascii="黑体" w:hAnsi="黑体" w:eastAsia="黑体" w:cs="黑体"/>
                <w:b w:val="0"/>
                <w:bCs/>
                <w:kern w:val="2"/>
                <w:sz w:val="21"/>
                <w:szCs w:val="22"/>
                <w:lang w:val="en-US" w:eastAsia="zh-CN" w:bidi="ar-SA"/>
              </w:rPr>
              <w:t>在综合实验和拓展实验中，将学生分成小组，共同完成汽车轮毂多工序加工、基于人工智能优化加工效率等任务，培养学生团队协作和沟通能力，促进学生之间的知识共享和思维碰撞。</w:t>
            </w:r>
          </w:p>
          <w:p w14:paraId="14E8ACF7">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p>
          <w:p w14:paraId="54E44ABB">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（4）项目驱动法：</w:t>
            </w:r>
            <w:r>
              <w:rPr>
                <w:rFonts w:hint="default" w:ascii="黑体" w:hAnsi="黑体" w:eastAsia="黑体" w:cs="黑体"/>
                <w:b w:val="0"/>
                <w:bCs/>
                <w:kern w:val="2"/>
                <w:sz w:val="21"/>
                <w:szCs w:val="22"/>
                <w:lang w:val="en-US" w:eastAsia="zh-CN" w:bidi="ar-SA"/>
              </w:rPr>
              <w:t>以实际汽车轮毂加工项目为载体，如给定一批特定规格的轮毂加工任务，要求学生完成从工艺规划、机器人编程到加工成品的全过程，提升学生综合实践能力，让学生在项目实践中积累经验，提高解决实际问题的能力。</w:t>
            </w:r>
          </w:p>
          <w:p w14:paraId="4D4D068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四、学习评价</w:t>
            </w:r>
          </w:p>
          <w:p w14:paraId="412FE1E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1.评价方式</w:t>
            </w:r>
          </w:p>
          <w:p w14:paraId="4F54FC5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采用学生自评、小组互评、教师评价相结合的多元评价方式。</w:t>
            </w:r>
          </w:p>
          <w:p w14:paraId="0924EF9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671"/>
              <w:gridCol w:w="896"/>
              <w:gridCol w:w="3234"/>
              <w:gridCol w:w="644"/>
              <w:gridCol w:w="776"/>
              <w:gridCol w:w="1095"/>
            </w:tblGrid>
            <w:tr w14:paraId="7386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shd w:val="clear" w:color="auto" w:fill="D7D7D7" w:themeFill="background1" w:themeFillShade="D8"/>
                  <w:vAlign w:val="center"/>
                </w:tcPr>
                <w:p w14:paraId="1B3F025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w:t>
                  </w:r>
                </w:p>
              </w:tc>
              <w:tc>
                <w:tcPr>
                  <w:tcW w:w="679" w:type="dxa"/>
                  <w:shd w:val="clear" w:color="auto" w:fill="D7D7D7" w:themeFill="background1" w:themeFillShade="D8"/>
                  <w:vAlign w:val="center"/>
                </w:tcPr>
                <w:p w14:paraId="2C760F6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内容</w:t>
                  </w:r>
                </w:p>
              </w:tc>
              <w:tc>
                <w:tcPr>
                  <w:tcW w:w="4306" w:type="dxa"/>
                  <w:gridSpan w:val="2"/>
                  <w:shd w:val="clear" w:color="auto" w:fill="D7D7D7" w:themeFill="background1" w:themeFillShade="D8"/>
                  <w:vAlign w:val="center"/>
                </w:tcPr>
                <w:p w14:paraId="6033223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w:t>
                  </w:r>
                </w:p>
              </w:tc>
              <w:tc>
                <w:tcPr>
                  <w:tcW w:w="656" w:type="dxa"/>
                  <w:shd w:val="clear" w:color="auto" w:fill="D7D7D7" w:themeFill="background1" w:themeFillShade="D8"/>
                  <w:vAlign w:val="center"/>
                </w:tcPr>
                <w:p w14:paraId="743A9FA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配分</w:t>
                  </w:r>
                </w:p>
              </w:tc>
              <w:tc>
                <w:tcPr>
                  <w:tcW w:w="795" w:type="dxa"/>
                  <w:shd w:val="clear" w:color="auto" w:fill="D7D7D7" w:themeFill="background1" w:themeFillShade="D8"/>
                  <w:vAlign w:val="center"/>
                </w:tcPr>
                <w:p w14:paraId="1BC8619E">
                  <w:pPr>
                    <w:widowControl w:val="0"/>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得分</w:t>
                  </w:r>
                </w:p>
              </w:tc>
              <w:tc>
                <w:tcPr>
                  <w:tcW w:w="1130" w:type="dxa"/>
                  <w:shd w:val="clear" w:color="auto" w:fill="D7D7D7" w:themeFill="background1" w:themeFillShade="D8"/>
                  <w:vAlign w:val="center"/>
                </w:tcPr>
                <w:p w14:paraId="14893EA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小计</w:t>
                  </w:r>
                </w:p>
              </w:tc>
            </w:tr>
            <w:tr w14:paraId="0EC5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restart"/>
                </w:tcPr>
                <w:p w14:paraId="06087AFC">
                  <w:pPr>
                    <w:widowControl w:val="0"/>
                    <w:rPr>
                      <w:rFonts w:hint="eastAsia" w:ascii="黑体" w:hAnsi="黑体" w:eastAsia="黑体" w:cs="黑体"/>
                      <w:b w:val="0"/>
                      <w:bCs/>
                      <w:kern w:val="2"/>
                      <w:sz w:val="21"/>
                      <w:szCs w:val="22"/>
                      <w:lang w:val="en-US" w:eastAsia="zh-CN" w:bidi="ar-SA"/>
                    </w:rPr>
                  </w:pPr>
                </w:p>
                <w:p w14:paraId="7992A628">
                  <w:pPr>
                    <w:widowControl w:val="0"/>
                    <w:rPr>
                      <w:rFonts w:hint="eastAsia" w:ascii="黑体" w:hAnsi="黑体" w:eastAsia="黑体" w:cs="黑体"/>
                      <w:b w:val="0"/>
                      <w:bCs/>
                      <w:kern w:val="2"/>
                      <w:sz w:val="21"/>
                      <w:szCs w:val="22"/>
                      <w:lang w:val="en-US" w:eastAsia="zh-CN" w:bidi="ar-SA"/>
                    </w:rPr>
                  </w:pPr>
                </w:p>
                <w:p w14:paraId="54B4C96C">
                  <w:pPr>
                    <w:widowControl w:val="0"/>
                    <w:rPr>
                      <w:rFonts w:hint="eastAsia" w:ascii="黑体" w:hAnsi="黑体" w:eastAsia="黑体" w:cs="黑体"/>
                      <w:b w:val="0"/>
                      <w:bCs/>
                      <w:kern w:val="2"/>
                      <w:sz w:val="21"/>
                      <w:szCs w:val="22"/>
                      <w:lang w:val="en-US" w:eastAsia="zh-CN" w:bidi="ar-SA"/>
                    </w:rPr>
                  </w:pPr>
                </w:p>
                <w:p w14:paraId="69B8E94E">
                  <w:pPr>
                    <w:widowControl w:val="0"/>
                    <w:rPr>
                      <w:rFonts w:hint="eastAsia" w:ascii="黑体" w:hAnsi="黑体" w:eastAsia="黑体" w:cs="黑体"/>
                      <w:b w:val="0"/>
                      <w:bCs/>
                      <w:kern w:val="2"/>
                      <w:sz w:val="21"/>
                      <w:szCs w:val="22"/>
                      <w:lang w:val="en-US" w:eastAsia="zh-CN" w:bidi="ar-SA"/>
                    </w:rPr>
                  </w:pPr>
                </w:p>
                <w:p w14:paraId="28B7C2EE">
                  <w:pPr>
                    <w:widowControl w:val="0"/>
                    <w:rPr>
                      <w:rFonts w:hint="eastAsia" w:ascii="黑体" w:hAnsi="黑体" w:eastAsia="黑体" w:cs="黑体"/>
                      <w:b w:val="0"/>
                      <w:bCs/>
                      <w:kern w:val="2"/>
                      <w:sz w:val="21"/>
                      <w:szCs w:val="22"/>
                      <w:lang w:val="en-US" w:eastAsia="zh-CN" w:bidi="ar-SA"/>
                    </w:rPr>
                  </w:pPr>
                </w:p>
                <w:p w14:paraId="3A24CF53">
                  <w:pPr>
                    <w:widowControl w:val="0"/>
                    <w:rPr>
                      <w:rFonts w:hint="eastAsia" w:ascii="黑体" w:hAnsi="黑体" w:eastAsia="黑体" w:cs="黑体"/>
                      <w:b w:val="0"/>
                      <w:bCs/>
                      <w:kern w:val="2"/>
                      <w:sz w:val="21"/>
                      <w:szCs w:val="22"/>
                      <w:lang w:val="en-US" w:eastAsia="zh-CN" w:bidi="ar-SA"/>
                    </w:rPr>
                  </w:pPr>
                </w:p>
                <w:p w14:paraId="152C7E28">
                  <w:pPr>
                    <w:widowControl w:val="0"/>
                    <w:rPr>
                      <w:rFonts w:hint="eastAsia" w:ascii="黑体" w:hAnsi="黑体" w:eastAsia="黑体" w:cs="黑体"/>
                      <w:b w:val="0"/>
                      <w:bCs/>
                      <w:kern w:val="2"/>
                      <w:sz w:val="21"/>
                      <w:szCs w:val="22"/>
                      <w:lang w:val="en-US" w:eastAsia="zh-CN" w:bidi="ar-SA"/>
                    </w:rPr>
                  </w:pPr>
                </w:p>
                <w:p w14:paraId="2064E901">
                  <w:pPr>
                    <w:widowControl w:val="0"/>
                    <w:rPr>
                      <w:rFonts w:hint="eastAsia" w:ascii="黑体" w:hAnsi="黑体" w:eastAsia="黑体" w:cs="黑体"/>
                      <w:b w:val="0"/>
                      <w:bCs/>
                      <w:kern w:val="2"/>
                      <w:sz w:val="21"/>
                      <w:szCs w:val="22"/>
                      <w:lang w:val="en-US" w:eastAsia="zh-CN" w:bidi="ar-SA"/>
                    </w:rPr>
                  </w:pPr>
                </w:p>
                <w:p w14:paraId="5BE65EF3">
                  <w:pPr>
                    <w:widowControl w:val="0"/>
                    <w:rPr>
                      <w:rFonts w:hint="eastAsia" w:ascii="黑体" w:hAnsi="黑体" w:eastAsia="黑体" w:cs="黑体"/>
                      <w:b w:val="0"/>
                      <w:bCs/>
                      <w:kern w:val="2"/>
                      <w:sz w:val="21"/>
                      <w:szCs w:val="22"/>
                      <w:lang w:val="en-US" w:eastAsia="zh-CN" w:bidi="ar-SA"/>
                    </w:rPr>
                  </w:pPr>
                </w:p>
                <w:p w14:paraId="7B3B4A69">
                  <w:pPr>
                    <w:widowControl w:val="0"/>
                    <w:rPr>
                      <w:rFonts w:hint="eastAsia" w:ascii="黑体" w:hAnsi="黑体" w:eastAsia="黑体" w:cs="黑体"/>
                      <w:b w:val="0"/>
                      <w:bCs/>
                      <w:kern w:val="2"/>
                      <w:sz w:val="21"/>
                      <w:szCs w:val="22"/>
                      <w:lang w:val="en-US" w:eastAsia="zh-CN" w:bidi="ar-SA"/>
                    </w:rPr>
                  </w:pPr>
                </w:p>
                <w:p w14:paraId="72415BC4">
                  <w:pPr>
                    <w:widowControl w:val="0"/>
                    <w:rPr>
                      <w:rFonts w:hint="eastAsia" w:ascii="黑体" w:hAnsi="黑体" w:eastAsia="黑体" w:cs="黑体"/>
                      <w:b w:val="0"/>
                      <w:bCs/>
                      <w:kern w:val="2"/>
                      <w:sz w:val="21"/>
                      <w:szCs w:val="22"/>
                      <w:lang w:val="en-US" w:eastAsia="zh-CN" w:bidi="ar-SA"/>
                    </w:rPr>
                  </w:pPr>
                </w:p>
                <w:p w14:paraId="53665C5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汽车轮毂数控加工作业</w:t>
                  </w:r>
                </w:p>
              </w:tc>
              <w:tc>
                <w:tcPr>
                  <w:tcW w:w="679" w:type="dxa"/>
                  <w:vMerge w:val="restart"/>
                </w:tcPr>
                <w:p w14:paraId="52BB3B71">
                  <w:pPr>
                    <w:widowControl w:val="0"/>
                    <w:rPr>
                      <w:rFonts w:hint="eastAsia" w:ascii="黑体" w:hAnsi="黑体" w:eastAsia="黑体" w:cs="黑体"/>
                      <w:b w:val="0"/>
                      <w:bCs/>
                      <w:kern w:val="2"/>
                      <w:sz w:val="21"/>
                      <w:szCs w:val="22"/>
                      <w:lang w:val="en-US" w:eastAsia="zh-CN" w:bidi="ar-SA"/>
                    </w:rPr>
                  </w:pPr>
                </w:p>
                <w:p w14:paraId="0D0EFFE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数字素养</w:t>
                  </w:r>
                </w:p>
              </w:tc>
              <w:tc>
                <w:tcPr>
                  <w:tcW w:w="4306" w:type="dxa"/>
                  <w:gridSpan w:val="2"/>
                  <w:vAlign w:val="center"/>
                </w:tcPr>
                <w:p w14:paraId="233D8474">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信息收集方法</w:t>
                  </w:r>
                </w:p>
              </w:tc>
              <w:tc>
                <w:tcPr>
                  <w:tcW w:w="656" w:type="dxa"/>
                  <w:vAlign w:val="center"/>
                </w:tcPr>
                <w:p w14:paraId="7CD818D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28F3C5D3">
                  <w:pPr>
                    <w:widowControl w:val="0"/>
                    <w:rPr>
                      <w:rFonts w:hint="eastAsia" w:ascii="黑体" w:hAnsi="黑体" w:eastAsia="黑体" w:cs="黑体"/>
                      <w:b w:val="0"/>
                      <w:bCs/>
                      <w:kern w:val="2"/>
                      <w:sz w:val="21"/>
                      <w:szCs w:val="22"/>
                      <w:lang w:val="en-US" w:eastAsia="zh-CN" w:bidi="ar-SA"/>
                    </w:rPr>
                  </w:pPr>
                </w:p>
              </w:tc>
              <w:tc>
                <w:tcPr>
                  <w:tcW w:w="1130" w:type="dxa"/>
                  <w:vMerge w:val="restart"/>
                </w:tcPr>
                <w:p w14:paraId="15334729">
                  <w:pPr>
                    <w:widowControl w:val="0"/>
                    <w:rPr>
                      <w:rFonts w:hint="eastAsia" w:ascii="黑体" w:hAnsi="黑体" w:eastAsia="黑体" w:cs="黑体"/>
                      <w:b w:val="0"/>
                      <w:bCs/>
                      <w:kern w:val="2"/>
                      <w:sz w:val="21"/>
                      <w:szCs w:val="22"/>
                      <w:lang w:val="en-US" w:eastAsia="zh-CN" w:bidi="ar-SA"/>
                    </w:rPr>
                  </w:pPr>
                </w:p>
              </w:tc>
            </w:tr>
            <w:tr w14:paraId="1593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BFEEA45">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61DA58DE">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7D68211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信息收集情况</w:t>
                  </w:r>
                </w:p>
              </w:tc>
              <w:tc>
                <w:tcPr>
                  <w:tcW w:w="656" w:type="dxa"/>
                  <w:vAlign w:val="center"/>
                </w:tcPr>
                <w:p w14:paraId="66F89AC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196B1752">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4B75EBA2">
                  <w:pPr>
                    <w:widowControl w:val="0"/>
                    <w:rPr>
                      <w:rFonts w:hint="eastAsia" w:ascii="黑体" w:hAnsi="黑体" w:eastAsia="黑体" w:cs="黑体"/>
                      <w:b w:val="0"/>
                      <w:bCs/>
                      <w:kern w:val="2"/>
                      <w:sz w:val="21"/>
                      <w:szCs w:val="22"/>
                      <w:lang w:val="en-US" w:eastAsia="zh-CN" w:bidi="ar-SA"/>
                    </w:rPr>
                  </w:pPr>
                </w:p>
              </w:tc>
            </w:tr>
            <w:tr w14:paraId="35F0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44871BBC">
                  <w:pPr>
                    <w:widowControl w:val="0"/>
                    <w:rPr>
                      <w:rFonts w:hint="eastAsia" w:ascii="黑体" w:hAnsi="黑体" w:eastAsia="黑体" w:cs="黑体"/>
                      <w:b w:val="0"/>
                      <w:bCs/>
                      <w:kern w:val="2"/>
                      <w:sz w:val="21"/>
                      <w:szCs w:val="22"/>
                      <w:lang w:val="en-US" w:eastAsia="zh-CN" w:bidi="ar-SA"/>
                    </w:rPr>
                  </w:pPr>
                </w:p>
              </w:tc>
              <w:tc>
                <w:tcPr>
                  <w:tcW w:w="679" w:type="dxa"/>
                  <w:vMerge w:val="restart"/>
                </w:tcPr>
                <w:p w14:paraId="71134828">
                  <w:pPr>
                    <w:widowControl w:val="0"/>
                    <w:rPr>
                      <w:rFonts w:hint="eastAsia" w:ascii="黑体" w:hAnsi="黑体" w:eastAsia="黑体" w:cs="黑体"/>
                      <w:b w:val="0"/>
                      <w:bCs/>
                      <w:kern w:val="2"/>
                      <w:sz w:val="21"/>
                      <w:szCs w:val="22"/>
                      <w:lang w:val="en-US" w:eastAsia="zh-CN" w:bidi="ar-SA"/>
                    </w:rPr>
                  </w:pPr>
                </w:p>
                <w:p w14:paraId="1EE0225E">
                  <w:pPr>
                    <w:widowControl w:val="0"/>
                    <w:rPr>
                      <w:rFonts w:hint="eastAsia" w:ascii="黑体" w:hAnsi="黑体" w:eastAsia="黑体" w:cs="黑体"/>
                      <w:b w:val="0"/>
                      <w:bCs/>
                      <w:kern w:val="2"/>
                      <w:sz w:val="21"/>
                      <w:szCs w:val="22"/>
                      <w:lang w:val="en-US" w:eastAsia="zh-CN" w:bidi="ar-SA"/>
                    </w:rPr>
                  </w:pPr>
                </w:p>
                <w:p w14:paraId="12F16948">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工匠素养</w:t>
                  </w:r>
                </w:p>
              </w:tc>
              <w:tc>
                <w:tcPr>
                  <w:tcW w:w="4306" w:type="dxa"/>
                  <w:gridSpan w:val="2"/>
                  <w:vAlign w:val="center"/>
                </w:tcPr>
                <w:p w14:paraId="0DF08F13">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能够认真负责的推进任务</w:t>
                  </w:r>
                </w:p>
              </w:tc>
              <w:tc>
                <w:tcPr>
                  <w:tcW w:w="656" w:type="dxa"/>
                  <w:vAlign w:val="center"/>
                </w:tcPr>
                <w:p w14:paraId="47EDD50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3063E4C7">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231123FB">
                  <w:pPr>
                    <w:widowControl w:val="0"/>
                    <w:rPr>
                      <w:rFonts w:hint="eastAsia" w:ascii="黑体" w:hAnsi="黑体" w:eastAsia="黑体" w:cs="黑体"/>
                      <w:b w:val="0"/>
                      <w:bCs/>
                      <w:kern w:val="2"/>
                      <w:sz w:val="21"/>
                      <w:szCs w:val="22"/>
                      <w:lang w:val="en-US" w:eastAsia="zh-CN" w:bidi="ar-SA"/>
                    </w:rPr>
                  </w:pPr>
                </w:p>
              </w:tc>
            </w:tr>
            <w:tr w14:paraId="303D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3856271C">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6AB730F5">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01104E31">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能够开展有效的团队合作</w:t>
                  </w:r>
                </w:p>
              </w:tc>
              <w:tc>
                <w:tcPr>
                  <w:tcW w:w="656" w:type="dxa"/>
                  <w:vAlign w:val="center"/>
                </w:tcPr>
                <w:p w14:paraId="23948FE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2ABAC568">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6079D2C">
                  <w:pPr>
                    <w:widowControl w:val="0"/>
                    <w:rPr>
                      <w:rFonts w:hint="eastAsia" w:ascii="黑体" w:hAnsi="黑体" w:eastAsia="黑体" w:cs="黑体"/>
                      <w:b w:val="0"/>
                      <w:bCs/>
                      <w:kern w:val="2"/>
                      <w:sz w:val="21"/>
                      <w:szCs w:val="22"/>
                      <w:lang w:val="en-US" w:eastAsia="zh-CN" w:bidi="ar-SA"/>
                    </w:rPr>
                  </w:pPr>
                </w:p>
              </w:tc>
            </w:tr>
            <w:tr w14:paraId="101E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7B5750A7">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77DAB26">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73AE50C3">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遇到问题能够努力解决</w:t>
                  </w:r>
                </w:p>
              </w:tc>
              <w:tc>
                <w:tcPr>
                  <w:tcW w:w="656" w:type="dxa"/>
                  <w:vAlign w:val="center"/>
                </w:tcPr>
                <w:p w14:paraId="1575AA9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3F285868">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0CD63DA2">
                  <w:pPr>
                    <w:widowControl w:val="0"/>
                    <w:rPr>
                      <w:rFonts w:hint="eastAsia" w:ascii="黑体" w:hAnsi="黑体" w:eastAsia="黑体" w:cs="黑体"/>
                      <w:b w:val="0"/>
                      <w:bCs/>
                      <w:kern w:val="2"/>
                      <w:sz w:val="21"/>
                      <w:szCs w:val="22"/>
                      <w:lang w:val="en-US" w:eastAsia="zh-CN" w:bidi="ar-SA"/>
                    </w:rPr>
                  </w:pPr>
                </w:p>
              </w:tc>
            </w:tr>
            <w:tr w14:paraId="680E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483E2C2">
                  <w:pPr>
                    <w:widowControl w:val="0"/>
                    <w:rPr>
                      <w:rFonts w:hint="eastAsia" w:ascii="黑体" w:hAnsi="黑体" w:eastAsia="黑体" w:cs="黑体"/>
                      <w:b w:val="0"/>
                      <w:bCs/>
                      <w:kern w:val="2"/>
                      <w:sz w:val="21"/>
                      <w:szCs w:val="22"/>
                      <w:lang w:val="en-US" w:eastAsia="zh-CN" w:bidi="ar-SA"/>
                    </w:rPr>
                  </w:pPr>
                </w:p>
              </w:tc>
              <w:tc>
                <w:tcPr>
                  <w:tcW w:w="679" w:type="dxa"/>
                  <w:vMerge w:val="restart"/>
                </w:tcPr>
                <w:p w14:paraId="7B66BC04">
                  <w:pPr>
                    <w:widowControl w:val="0"/>
                    <w:rPr>
                      <w:rFonts w:hint="eastAsia" w:ascii="黑体" w:hAnsi="黑体" w:eastAsia="黑体" w:cs="黑体"/>
                      <w:b w:val="0"/>
                      <w:bCs/>
                      <w:kern w:val="2"/>
                      <w:sz w:val="21"/>
                      <w:szCs w:val="22"/>
                      <w:lang w:val="en-US" w:eastAsia="zh-CN" w:bidi="ar-SA"/>
                    </w:rPr>
                  </w:pPr>
                </w:p>
                <w:p w14:paraId="4AE38747">
                  <w:pPr>
                    <w:widowControl w:val="0"/>
                    <w:rPr>
                      <w:rFonts w:hint="eastAsia" w:ascii="黑体" w:hAnsi="黑体" w:eastAsia="黑体" w:cs="黑体"/>
                      <w:b w:val="0"/>
                      <w:bCs/>
                      <w:kern w:val="2"/>
                      <w:sz w:val="21"/>
                      <w:szCs w:val="22"/>
                      <w:lang w:val="en-US" w:eastAsia="zh-CN" w:bidi="ar-SA"/>
                    </w:rPr>
                  </w:pPr>
                </w:p>
                <w:p w14:paraId="74D9C9B5">
                  <w:pPr>
                    <w:widowControl w:val="0"/>
                    <w:rPr>
                      <w:rFonts w:hint="eastAsia" w:ascii="黑体" w:hAnsi="黑体" w:eastAsia="黑体" w:cs="黑体"/>
                      <w:b w:val="0"/>
                      <w:bCs/>
                      <w:kern w:val="2"/>
                      <w:sz w:val="21"/>
                      <w:szCs w:val="22"/>
                      <w:lang w:val="en-US" w:eastAsia="zh-CN" w:bidi="ar-SA"/>
                    </w:rPr>
                  </w:pPr>
                </w:p>
                <w:p w14:paraId="581C4172">
                  <w:pPr>
                    <w:widowControl w:val="0"/>
                    <w:rPr>
                      <w:rFonts w:hint="eastAsia" w:ascii="黑体" w:hAnsi="黑体" w:eastAsia="黑体" w:cs="黑体"/>
                      <w:b w:val="0"/>
                      <w:bCs/>
                      <w:kern w:val="2"/>
                      <w:sz w:val="21"/>
                      <w:szCs w:val="22"/>
                      <w:lang w:val="en-US" w:eastAsia="zh-CN" w:bidi="ar-SA"/>
                    </w:rPr>
                  </w:pPr>
                </w:p>
                <w:p w14:paraId="56264C53">
                  <w:pPr>
                    <w:widowControl w:val="0"/>
                    <w:rPr>
                      <w:rFonts w:hint="eastAsia" w:ascii="黑体" w:hAnsi="黑体" w:eastAsia="黑体" w:cs="黑体"/>
                      <w:b w:val="0"/>
                      <w:bCs/>
                      <w:kern w:val="2"/>
                      <w:sz w:val="21"/>
                      <w:szCs w:val="22"/>
                      <w:lang w:val="en-US" w:eastAsia="zh-CN" w:bidi="ar-SA"/>
                    </w:rPr>
                  </w:pPr>
                </w:p>
                <w:p w14:paraId="00E03C05">
                  <w:pPr>
                    <w:widowControl w:val="0"/>
                    <w:rPr>
                      <w:rFonts w:hint="eastAsia" w:ascii="黑体" w:hAnsi="黑体" w:eastAsia="黑体" w:cs="黑体"/>
                      <w:b w:val="0"/>
                      <w:bCs/>
                      <w:kern w:val="2"/>
                      <w:sz w:val="21"/>
                      <w:szCs w:val="22"/>
                      <w:lang w:val="en-US" w:eastAsia="zh-CN" w:bidi="ar-SA"/>
                    </w:rPr>
                  </w:pPr>
                </w:p>
                <w:p w14:paraId="258F654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技能素养</w:t>
                  </w:r>
                </w:p>
              </w:tc>
              <w:tc>
                <w:tcPr>
                  <w:tcW w:w="4306" w:type="dxa"/>
                  <w:gridSpan w:val="2"/>
                  <w:vAlign w:val="center"/>
                </w:tcPr>
                <w:p w14:paraId="10EB25A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按下程序运行，机器人能够从起始点移动至取料点上方，并能够从取料店移动至放置点上方取料。</w:t>
                  </w:r>
                </w:p>
              </w:tc>
              <w:tc>
                <w:tcPr>
                  <w:tcW w:w="656" w:type="dxa"/>
                  <w:vAlign w:val="center"/>
                </w:tcPr>
                <w:p w14:paraId="6211E11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15</w:t>
                  </w:r>
                </w:p>
              </w:tc>
              <w:tc>
                <w:tcPr>
                  <w:tcW w:w="795" w:type="dxa"/>
                  <w:vAlign w:val="top"/>
                </w:tcPr>
                <w:p w14:paraId="765A2074">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72FD80D0">
                  <w:pPr>
                    <w:widowControl w:val="0"/>
                    <w:rPr>
                      <w:rFonts w:hint="eastAsia" w:ascii="黑体" w:hAnsi="黑体" w:eastAsia="黑体" w:cs="黑体"/>
                      <w:b w:val="0"/>
                      <w:bCs/>
                      <w:kern w:val="2"/>
                      <w:sz w:val="21"/>
                      <w:szCs w:val="22"/>
                      <w:lang w:val="en-US" w:eastAsia="zh-CN" w:bidi="ar-SA"/>
                    </w:rPr>
                  </w:pPr>
                </w:p>
              </w:tc>
            </w:tr>
            <w:tr w14:paraId="0015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74E5B90">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07D6DE10">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27B71AD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数控加工单元能够按照要求控制安全门、夹具、工作台。</w:t>
                  </w:r>
                </w:p>
              </w:tc>
              <w:tc>
                <w:tcPr>
                  <w:tcW w:w="656" w:type="dxa"/>
                  <w:vAlign w:val="center"/>
                </w:tcPr>
                <w:p w14:paraId="022699C9">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4E6C4AA4">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B047B1C">
                  <w:pPr>
                    <w:widowControl w:val="0"/>
                    <w:rPr>
                      <w:rFonts w:hint="eastAsia" w:ascii="黑体" w:hAnsi="黑体" w:eastAsia="黑体" w:cs="黑体"/>
                      <w:b w:val="0"/>
                      <w:bCs/>
                      <w:kern w:val="2"/>
                      <w:sz w:val="21"/>
                      <w:szCs w:val="22"/>
                      <w:lang w:val="en-US" w:eastAsia="zh-CN" w:bidi="ar-SA"/>
                    </w:rPr>
                  </w:pPr>
                </w:p>
              </w:tc>
            </w:tr>
            <w:tr w14:paraId="3E52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247E8F2F">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164D5166">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6025575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机器人能够从数控单元对应的工位取放轮毂工件。</w:t>
                  </w:r>
                </w:p>
              </w:tc>
              <w:tc>
                <w:tcPr>
                  <w:tcW w:w="656" w:type="dxa"/>
                  <w:vAlign w:val="center"/>
                </w:tcPr>
                <w:p w14:paraId="097EB85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1E67C3FB">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3309C55D">
                  <w:pPr>
                    <w:widowControl w:val="0"/>
                    <w:rPr>
                      <w:rFonts w:hint="eastAsia" w:ascii="黑体" w:hAnsi="黑体" w:eastAsia="黑体" w:cs="黑体"/>
                      <w:b w:val="0"/>
                      <w:bCs/>
                      <w:kern w:val="2"/>
                      <w:sz w:val="21"/>
                      <w:szCs w:val="22"/>
                      <w:lang w:val="en-US" w:eastAsia="zh-CN" w:bidi="ar-SA"/>
                    </w:rPr>
                  </w:pPr>
                </w:p>
              </w:tc>
            </w:tr>
            <w:tr w14:paraId="59FD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0284340F">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FDF50EB">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0A34775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数控单元按照设定的程序加工轮毂工件点。</w:t>
                  </w:r>
                </w:p>
              </w:tc>
              <w:tc>
                <w:tcPr>
                  <w:tcW w:w="656" w:type="dxa"/>
                  <w:vAlign w:val="center"/>
                </w:tcPr>
                <w:p w14:paraId="52C13D2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7C65FE82">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05530EE4">
                  <w:pPr>
                    <w:widowControl w:val="0"/>
                    <w:rPr>
                      <w:rFonts w:hint="eastAsia" w:ascii="黑体" w:hAnsi="黑体" w:eastAsia="黑体" w:cs="黑体"/>
                      <w:b w:val="0"/>
                      <w:bCs/>
                      <w:kern w:val="2"/>
                      <w:sz w:val="21"/>
                      <w:szCs w:val="22"/>
                      <w:lang w:val="en-US" w:eastAsia="zh-CN" w:bidi="ar-SA"/>
                    </w:rPr>
                  </w:pPr>
                </w:p>
              </w:tc>
            </w:tr>
            <w:tr w14:paraId="189D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72453AC0">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000FB400">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3DD3D8C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机器人移动过程中速度与转弯半径符合要求。</w:t>
                  </w:r>
                </w:p>
              </w:tc>
              <w:tc>
                <w:tcPr>
                  <w:tcW w:w="656" w:type="dxa"/>
                  <w:vAlign w:val="center"/>
                </w:tcPr>
                <w:p w14:paraId="3D99981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36BDE4BA">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186499FC">
                  <w:pPr>
                    <w:widowControl w:val="0"/>
                    <w:rPr>
                      <w:rFonts w:hint="eastAsia" w:ascii="黑体" w:hAnsi="黑体" w:eastAsia="黑体" w:cs="黑体"/>
                      <w:b w:val="0"/>
                      <w:bCs/>
                      <w:kern w:val="2"/>
                      <w:sz w:val="21"/>
                      <w:szCs w:val="22"/>
                      <w:lang w:val="en-US" w:eastAsia="zh-CN" w:bidi="ar-SA"/>
                    </w:rPr>
                  </w:pPr>
                </w:p>
              </w:tc>
            </w:tr>
            <w:tr w14:paraId="2D1F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584CA631">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2B4EA58D">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4B9361B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机器人运行过程中未发生碰撞。</w:t>
                  </w:r>
                </w:p>
              </w:tc>
              <w:tc>
                <w:tcPr>
                  <w:tcW w:w="656" w:type="dxa"/>
                  <w:vAlign w:val="center"/>
                </w:tcPr>
                <w:p w14:paraId="66F00B4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144F13F9">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64ACE7BD">
                  <w:pPr>
                    <w:widowControl w:val="0"/>
                    <w:rPr>
                      <w:rFonts w:hint="eastAsia" w:ascii="黑体" w:hAnsi="黑体" w:eastAsia="黑体" w:cs="黑体"/>
                      <w:b w:val="0"/>
                      <w:bCs/>
                      <w:kern w:val="2"/>
                      <w:sz w:val="21"/>
                      <w:szCs w:val="22"/>
                      <w:lang w:val="en-US" w:eastAsia="zh-CN" w:bidi="ar-SA"/>
                    </w:rPr>
                  </w:pPr>
                </w:p>
              </w:tc>
            </w:tr>
            <w:tr w14:paraId="5741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5F25A56">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5A42EB3">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411E9294">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机器人能够按照要求回到原点。</w:t>
                  </w:r>
                </w:p>
              </w:tc>
              <w:tc>
                <w:tcPr>
                  <w:tcW w:w="656" w:type="dxa"/>
                  <w:vAlign w:val="center"/>
                </w:tcPr>
                <w:p w14:paraId="3AF1FA5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4AD4C2BB">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6E19801">
                  <w:pPr>
                    <w:widowControl w:val="0"/>
                    <w:rPr>
                      <w:rFonts w:hint="eastAsia" w:ascii="黑体" w:hAnsi="黑体" w:eastAsia="黑体" w:cs="黑体"/>
                      <w:b w:val="0"/>
                      <w:bCs/>
                      <w:kern w:val="2"/>
                      <w:sz w:val="21"/>
                      <w:szCs w:val="22"/>
                      <w:lang w:val="en-US" w:eastAsia="zh-CN" w:bidi="ar-SA"/>
                    </w:rPr>
                  </w:pPr>
                </w:p>
              </w:tc>
            </w:tr>
            <w:tr w14:paraId="7BB2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shd w:val="clear" w:color="auto" w:fill="D7D7D7" w:themeFill="background1" w:themeFillShade="D8"/>
                  <w:vAlign w:val="center"/>
                </w:tcPr>
                <w:p w14:paraId="4A98B61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考核</w:t>
                  </w:r>
                </w:p>
                <w:p w14:paraId="00C9D81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主体</w:t>
                  </w:r>
                </w:p>
              </w:tc>
              <w:tc>
                <w:tcPr>
                  <w:tcW w:w="679" w:type="dxa"/>
                  <w:shd w:val="clear" w:color="auto" w:fill="D7D7D7" w:themeFill="background1" w:themeFillShade="D8"/>
                  <w:vAlign w:val="center"/>
                </w:tcPr>
                <w:p w14:paraId="69E5240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分值</w:t>
                  </w:r>
                </w:p>
              </w:tc>
              <w:tc>
                <w:tcPr>
                  <w:tcW w:w="921" w:type="dxa"/>
                  <w:shd w:val="clear" w:color="auto" w:fill="D7D7D7" w:themeFill="background1" w:themeFillShade="D8"/>
                  <w:vAlign w:val="center"/>
                </w:tcPr>
                <w:p w14:paraId="0EB7F741">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得分</w:t>
                  </w:r>
                </w:p>
              </w:tc>
              <w:tc>
                <w:tcPr>
                  <w:tcW w:w="3385" w:type="dxa"/>
                  <w:shd w:val="clear" w:color="auto" w:fill="D7D7D7" w:themeFill="background1" w:themeFillShade="D8"/>
                  <w:vAlign w:val="center"/>
                </w:tcPr>
                <w:p w14:paraId="2738DD9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存在的问题</w:t>
                  </w:r>
                </w:p>
              </w:tc>
              <w:tc>
                <w:tcPr>
                  <w:tcW w:w="2581" w:type="dxa"/>
                  <w:gridSpan w:val="3"/>
                  <w:shd w:val="clear" w:color="auto" w:fill="D7D7D7" w:themeFill="background1" w:themeFillShade="D8"/>
                  <w:vAlign w:val="center"/>
                </w:tcPr>
                <w:p w14:paraId="28FE0C5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解决办法</w:t>
                  </w:r>
                </w:p>
              </w:tc>
            </w:tr>
            <w:tr w14:paraId="6967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3E9B8F4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指导教师评价</w:t>
                  </w:r>
                </w:p>
              </w:tc>
              <w:tc>
                <w:tcPr>
                  <w:tcW w:w="679" w:type="dxa"/>
                  <w:vAlign w:val="center"/>
                </w:tcPr>
                <w:p w14:paraId="0FB1A4B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6E7B6A68">
                  <w:pPr>
                    <w:widowControl w:val="0"/>
                    <w:rPr>
                      <w:rFonts w:hint="eastAsia" w:ascii="黑体" w:hAnsi="黑体" w:eastAsia="黑体" w:cs="黑体"/>
                      <w:b w:val="0"/>
                      <w:bCs/>
                      <w:kern w:val="2"/>
                      <w:sz w:val="21"/>
                      <w:szCs w:val="22"/>
                      <w:lang w:val="en-US" w:eastAsia="zh-CN" w:bidi="ar-SA"/>
                    </w:rPr>
                  </w:pPr>
                </w:p>
              </w:tc>
              <w:tc>
                <w:tcPr>
                  <w:tcW w:w="3385" w:type="dxa"/>
                </w:tcPr>
                <w:p w14:paraId="254A075C">
                  <w:pPr>
                    <w:widowControl w:val="0"/>
                    <w:rPr>
                      <w:rFonts w:hint="eastAsia" w:ascii="黑体" w:hAnsi="黑体" w:eastAsia="黑体" w:cs="黑体"/>
                      <w:b w:val="0"/>
                      <w:bCs/>
                      <w:kern w:val="2"/>
                      <w:sz w:val="21"/>
                      <w:szCs w:val="22"/>
                      <w:lang w:val="en-US" w:eastAsia="zh-CN" w:bidi="ar-SA"/>
                    </w:rPr>
                  </w:pPr>
                </w:p>
              </w:tc>
              <w:tc>
                <w:tcPr>
                  <w:tcW w:w="2581" w:type="dxa"/>
                  <w:gridSpan w:val="3"/>
                  <w:vAlign w:val="top"/>
                </w:tcPr>
                <w:p w14:paraId="01FA6527">
                  <w:pPr>
                    <w:widowControl w:val="0"/>
                    <w:rPr>
                      <w:rFonts w:hint="eastAsia" w:ascii="黑体" w:hAnsi="黑体" w:eastAsia="黑体" w:cs="黑体"/>
                      <w:b w:val="0"/>
                      <w:bCs/>
                      <w:kern w:val="2"/>
                      <w:sz w:val="21"/>
                      <w:szCs w:val="22"/>
                      <w:lang w:val="en-US" w:eastAsia="zh-CN" w:bidi="ar-SA"/>
                    </w:rPr>
                  </w:pPr>
                </w:p>
              </w:tc>
            </w:tr>
            <w:tr w14:paraId="5192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6CDCFD59">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企业教师评价</w:t>
                  </w:r>
                </w:p>
              </w:tc>
              <w:tc>
                <w:tcPr>
                  <w:tcW w:w="679" w:type="dxa"/>
                  <w:vAlign w:val="center"/>
                </w:tcPr>
                <w:p w14:paraId="59AB5A40">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1F1C68CF">
                  <w:pPr>
                    <w:widowControl w:val="0"/>
                    <w:rPr>
                      <w:rFonts w:hint="eastAsia" w:ascii="黑体" w:hAnsi="黑体" w:eastAsia="黑体" w:cs="黑体"/>
                      <w:b w:val="0"/>
                      <w:bCs/>
                      <w:kern w:val="2"/>
                      <w:sz w:val="21"/>
                      <w:szCs w:val="22"/>
                      <w:lang w:val="en-US" w:eastAsia="zh-CN" w:bidi="ar-SA"/>
                    </w:rPr>
                  </w:pPr>
                </w:p>
              </w:tc>
              <w:tc>
                <w:tcPr>
                  <w:tcW w:w="3385" w:type="dxa"/>
                </w:tcPr>
                <w:p w14:paraId="638F64EC">
                  <w:pPr>
                    <w:widowControl w:val="0"/>
                    <w:rPr>
                      <w:rFonts w:hint="eastAsia" w:ascii="黑体" w:hAnsi="黑体" w:eastAsia="黑体" w:cs="黑体"/>
                      <w:b w:val="0"/>
                      <w:bCs/>
                      <w:kern w:val="2"/>
                      <w:sz w:val="21"/>
                      <w:szCs w:val="22"/>
                      <w:lang w:val="en-US" w:eastAsia="zh-CN" w:bidi="ar-SA"/>
                    </w:rPr>
                  </w:pPr>
                </w:p>
              </w:tc>
              <w:tc>
                <w:tcPr>
                  <w:tcW w:w="2581" w:type="dxa"/>
                  <w:gridSpan w:val="3"/>
                  <w:vAlign w:val="top"/>
                </w:tcPr>
                <w:p w14:paraId="356457E8">
                  <w:pPr>
                    <w:widowControl w:val="0"/>
                    <w:rPr>
                      <w:rFonts w:hint="eastAsia" w:ascii="黑体" w:hAnsi="黑体" w:eastAsia="黑体" w:cs="黑体"/>
                      <w:b w:val="0"/>
                      <w:bCs/>
                      <w:kern w:val="2"/>
                      <w:sz w:val="21"/>
                      <w:szCs w:val="22"/>
                      <w:lang w:val="en-US" w:eastAsia="zh-CN" w:bidi="ar-SA"/>
                    </w:rPr>
                  </w:pPr>
                </w:p>
              </w:tc>
            </w:tr>
            <w:tr w14:paraId="1D4E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464B464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小组互评</w:t>
                  </w:r>
                </w:p>
              </w:tc>
              <w:tc>
                <w:tcPr>
                  <w:tcW w:w="679" w:type="dxa"/>
                  <w:vAlign w:val="center"/>
                </w:tcPr>
                <w:p w14:paraId="19BAA99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16E6C9D9">
                  <w:pPr>
                    <w:widowControl w:val="0"/>
                    <w:rPr>
                      <w:rFonts w:hint="eastAsia" w:ascii="黑体" w:hAnsi="黑体" w:eastAsia="黑体" w:cs="黑体"/>
                      <w:b w:val="0"/>
                      <w:bCs/>
                      <w:kern w:val="2"/>
                      <w:sz w:val="21"/>
                      <w:szCs w:val="22"/>
                      <w:lang w:val="en-US" w:eastAsia="zh-CN" w:bidi="ar-SA"/>
                    </w:rPr>
                  </w:pPr>
                </w:p>
              </w:tc>
              <w:tc>
                <w:tcPr>
                  <w:tcW w:w="3385" w:type="dxa"/>
                </w:tcPr>
                <w:p w14:paraId="10EC1C79">
                  <w:pPr>
                    <w:widowControl w:val="0"/>
                    <w:rPr>
                      <w:rFonts w:hint="eastAsia" w:ascii="黑体" w:hAnsi="黑体" w:eastAsia="黑体" w:cs="黑体"/>
                      <w:b w:val="0"/>
                      <w:bCs/>
                      <w:kern w:val="2"/>
                      <w:sz w:val="21"/>
                      <w:szCs w:val="22"/>
                      <w:lang w:val="en-US" w:eastAsia="zh-CN" w:bidi="ar-SA"/>
                    </w:rPr>
                  </w:pPr>
                </w:p>
              </w:tc>
              <w:tc>
                <w:tcPr>
                  <w:tcW w:w="2581" w:type="dxa"/>
                  <w:gridSpan w:val="3"/>
                </w:tcPr>
                <w:p w14:paraId="736C8D85">
                  <w:pPr>
                    <w:widowControl w:val="0"/>
                    <w:rPr>
                      <w:rFonts w:hint="eastAsia" w:ascii="黑体" w:hAnsi="黑体" w:eastAsia="黑体" w:cs="黑体"/>
                      <w:b w:val="0"/>
                      <w:bCs/>
                      <w:kern w:val="2"/>
                      <w:sz w:val="21"/>
                      <w:szCs w:val="22"/>
                      <w:lang w:val="en-US" w:eastAsia="zh-CN" w:bidi="ar-SA"/>
                    </w:rPr>
                  </w:pPr>
                </w:p>
              </w:tc>
            </w:tr>
            <w:tr w14:paraId="5DBD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0AA529F0">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自评成绩</w:t>
                  </w:r>
                </w:p>
              </w:tc>
              <w:tc>
                <w:tcPr>
                  <w:tcW w:w="679" w:type="dxa"/>
                  <w:vAlign w:val="center"/>
                </w:tcPr>
                <w:p w14:paraId="699609A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40DD3DF3">
                  <w:pPr>
                    <w:widowControl w:val="0"/>
                    <w:rPr>
                      <w:rFonts w:hint="eastAsia" w:ascii="黑体" w:hAnsi="黑体" w:eastAsia="黑体" w:cs="黑体"/>
                      <w:b w:val="0"/>
                      <w:bCs/>
                      <w:kern w:val="2"/>
                      <w:sz w:val="21"/>
                      <w:szCs w:val="22"/>
                      <w:lang w:val="en-US" w:eastAsia="zh-CN" w:bidi="ar-SA"/>
                    </w:rPr>
                  </w:pPr>
                </w:p>
              </w:tc>
              <w:tc>
                <w:tcPr>
                  <w:tcW w:w="3385" w:type="dxa"/>
                </w:tcPr>
                <w:p w14:paraId="68F75F06">
                  <w:pPr>
                    <w:widowControl w:val="0"/>
                    <w:rPr>
                      <w:rFonts w:hint="eastAsia" w:ascii="黑体" w:hAnsi="黑体" w:eastAsia="黑体" w:cs="黑体"/>
                      <w:b w:val="0"/>
                      <w:bCs/>
                      <w:kern w:val="2"/>
                      <w:sz w:val="21"/>
                      <w:szCs w:val="22"/>
                      <w:lang w:val="en-US" w:eastAsia="zh-CN" w:bidi="ar-SA"/>
                    </w:rPr>
                  </w:pPr>
                </w:p>
              </w:tc>
              <w:tc>
                <w:tcPr>
                  <w:tcW w:w="2581" w:type="dxa"/>
                  <w:gridSpan w:val="3"/>
                </w:tcPr>
                <w:p w14:paraId="67E42B0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增量评价（10~20分）：</w:t>
                  </w:r>
                </w:p>
              </w:tc>
            </w:tr>
            <w:tr w14:paraId="5A282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686F267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总评</w:t>
                  </w:r>
                </w:p>
              </w:tc>
              <w:tc>
                <w:tcPr>
                  <w:tcW w:w="679" w:type="dxa"/>
                  <w:vAlign w:val="center"/>
                </w:tcPr>
                <w:p w14:paraId="0294120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69EF7415">
                  <w:pPr>
                    <w:widowControl w:val="0"/>
                    <w:rPr>
                      <w:rFonts w:hint="eastAsia" w:ascii="黑体" w:hAnsi="黑体" w:eastAsia="黑体" w:cs="黑体"/>
                      <w:b w:val="0"/>
                      <w:bCs/>
                      <w:kern w:val="2"/>
                      <w:sz w:val="21"/>
                      <w:szCs w:val="22"/>
                      <w:lang w:val="en-US" w:eastAsia="zh-CN" w:bidi="ar-SA"/>
                    </w:rPr>
                  </w:pPr>
                </w:p>
              </w:tc>
              <w:tc>
                <w:tcPr>
                  <w:tcW w:w="3385" w:type="dxa"/>
                </w:tcPr>
                <w:p w14:paraId="09411147">
                  <w:pPr>
                    <w:widowControl w:val="0"/>
                    <w:rPr>
                      <w:rFonts w:hint="eastAsia" w:ascii="黑体" w:hAnsi="黑体" w:eastAsia="黑体" w:cs="黑体"/>
                      <w:b w:val="0"/>
                      <w:bCs/>
                      <w:kern w:val="2"/>
                      <w:sz w:val="21"/>
                      <w:szCs w:val="22"/>
                      <w:lang w:val="en-US" w:eastAsia="zh-CN" w:bidi="ar-SA"/>
                    </w:rPr>
                  </w:pPr>
                </w:p>
              </w:tc>
              <w:tc>
                <w:tcPr>
                  <w:tcW w:w="2581" w:type="dxa"/>
                  <w:gridSpan w:val="3"/>
                </w:tcPr>
                <w:p w14:paraId="6908F95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总评分成绩=（指导）教师评价×35%+企业教师评价×35%+小组互评×15%+自评成绩×15%+增量评价</w:t>
                  </w:r>
                </w:p>
              </w:tc>
            </w:tr>
          </w:tbl>
          <w:p w14:paraId="08BD9DD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p>
        </w:tc>
      </w:tr>
      <w:tr w14:paraId="7E38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1354" w:type="dxa"/>
            <w:vAlign w:val="center"/>
          </w:tcPr>
          <w:p w14:paraId="72E74C18">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教学过程</w:t>
            </w:r>
          </w:p>
        </w:tc>
        <w:tc>
          <w:tcPr>
            <w:tcW w:w="8466" w:type="dxa"/>
            <w:gridSpan w:val="3"/>
            <w:vAlign w:val="center"/>
          </w:tcPr>
          <w:p w14:paraId="0394673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一、任务导入（2学时-90分钟）</w:t>
            </w:r>
          </w:p>
          <w:p w14:paraId="0BD0BA49">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1.情境引入（15分钟）</w:t>
            </w:r>
          </w:p>
          <w:p w14:paraId="5D016559">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播放一段汽车轮毂制造工厂的生产视频，展示工业机器人在汽车轮毂加工过程中的多道工序，如对轮毂进行精密的钻孔、复杂的铣面以及精细的打磨等。播放结束后，引导学生观察并思考工业机器人在加工过程中是如何精准控制加工尺寸、保证加工精度的，以及面对不同型号的轮毂，机器人如何快速切换加工模式。</w:t>
            </w:r>
          </w:p>
          <w:p w14:paraId="7E9A5D0C">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学生活动：认真观看视频，积极思考教师提出的问题，部分学生主动分享自己在视频中观察到的机器人加工特点，比如机器人在不同工序中的动作差异、加工不同部位时的速度变化等。</w:t>
            </w:r>
          </w:p>
          <w:p w14:paraId="5A21842E">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2.任务布置（30分钟）</w:t>
            </w:r>
          </w:p>
          <w:p w14:paraId="06252E29">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展示本次任务的具体要求，设定一个模拟的汽车轮毂加工场景。要求学生利用工业机器人数控加工系统，对不同规格（尺寸、孔位分布、表面造型不同）的轮毂毛坯进行加工，使其达到给定的设计尺寸和精度标准。详细说明任务的关键指标，如尺寸公差控制在 ±0.05mm 以内，表面粗糙度达到 Ra0.8μm 以下，每小时至少完成 2 个轮毂的粗加工。同时，介绍此任务与实际汽车轮毂制造生产环节的紧密联系，让学生明白任务的实际意义。</w:t>
            </w:r>
          </w:p>
          <w:p w14:paraId="456BA329">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仔细聆听任务内容，记录关键信息，如任务场景、轮毂加工要求、任务指标等。对任务有初步认知后，思考完成任务可能面临的挑战，如如何根据不同规格轮毂编写精准的加工程序、怎样选择合适的刀具和切削参数以保证加工质量和效率等。</w:t>
            </w:r>
          </w:p>
          <w:p w14:paraId="595AEA87">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3.小组讨论（35分钟）</w:t>
            </w:r>
          </w:p>
          <w:p w14:paraId="623658FB">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教师活动：将学生分成若干小组，每组 4 - 5 人。鼓励学生围绕任务展开讨论，提示从工业机器人数控加工原理、汽车轮毂加工工艺流程规划、可能用到的技术和工具等方面进行思考。在各小组讨论过程中，教师巡回观察，适时参与小组讨论，给予引导和启发，确保讨论方向的正确性。例如，引导学生思考在加工复杂曲面轮毂时，如何优化机器人的运动轨迹以提高加工精度。</w:t>
            </w:r>
          </w:p>
          <w:p w14:paraId="0AB698FD">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积极交流想法，共同探讨完成任务的初步方案。例如，讨论如何根据轮毂的材料和形状选择合适的刀具，以及如何规划机器人在不同加工工序之间的切换流程。每个小组安排一名记录员，记录讨论过程中的重要观点和遇到的问题，如对某种新型轮毂材料的切削参数选择存在争议。</w:t>
            </w:r>
          </w:p>
          <w:p w14:paraId="6E019D92">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4.总结引导（10分钟）</w:t>
            </w:r>
          </w:p>
          <w:p w14:paraId="7C184E6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召集各小组代表发言，分享小组讨论的成果和遇到的疑问。对各小组的讨论情况进行总结，梳理出学生们普遍关注的问题，如数控编程中坐标系的建立与转换、机器人与加工设备的协同配合等。强调这些问题将在后续的新知解析环节中逐步得到解决，激发学生对新知识的渴望。</w:t>
            </w:r>
          </w:p>
          <w:p w14:paraId="60A06B7E">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倾听各小组发言和教师总结，对比自己小组与其他小组的思路，进一步明确自己的疑问和学习重点，为接下来的学习做好准备。例如，学生明确了自己在刀具路径规划和加工参数设定方面的知识欠缺，期待在后续学习中得到解答。</w:t>
            </w:r>
          </w:p>
          <w:p w14:paraId="1B469965">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二、新知解析（2学时-90分钟）</w:t>
            </w:r>
          </w:p>
          <w:p w14:paraId="543D0F4D">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1.工业机器人汽车轮毂加工基础</w:t>
            </w:r>
            <w:r>
              <w:rPr>
                <w:rFonts w:hint="eastAsia" w:ascii="黑体" w:hAnsi="黑体" w:eastAsia="黑体" w:cs="黑体"/>
                <w:b w:val="0"/>
                <w:bCs/>
                <w:kern w:val="2"/>
                <w:sz w:val="21"/>
                <w:szCs w:val="22"/>
                <w:lang w:val="en-US" w:eastAsia="zh-CN" w:bidi="ar-SA"/>
              </w:rPr>
              <w:t>（15分钟）</w:t>
            </w:r>
          </w:p>
          <w:p w14:paraId="1EA0919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教师活动：运用 PPT 和动画，详细讲解工业机器人应用于汽车轮毂加工系统的组成部分，包括机器人本体、控制器、驱动器、末端执行器（如铣刀、钻头夹具等）以及数控系统等。结合实际案例，说明各部分的作用和相互关系，如控制器如何根据数控系统的指令控制驱动器，进而驱动机器人本体完成精确的加工动作，末端执行器如何根据不同的加工工序进行更换以满足加工需求。同时，介绍汽车轮毂加工系统的工作原理，从加工任务下达、机器人运动规划到实际加工操作的整个流程。</w:t>
            </w:r>
          </w:p>
          <w:p w14:paraId="40413455">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 PPT 和动画演示，结合教师讲解，理解汽车轮毂加工系统的组成和原理。对于难以理解的部分，及时向教师提问，确保对基础知识的清晰掌握，比如弄清楚不同类型的驱动器在机器人运动控制中的差异</w:t>
            </w:r>
            <w:r>
              <w:rPr>
                <w:rFonts w:hint="eastAsia" w:ascii="黑体" w:hAnsi="黑体" w:eastAsia="黑体" w:cs="黑体"/>
                <w:b w:val="0"/>
                <w:bCs/>
                <w:kern w:val="2"/>
                <w:sz w:val="21"/>
                <w:szCs w:val="22"/>
                <w:lang w:val="en-US" w:eastAsia="zh-CN" w:bidi="ar-SA"/>
              </w:rPr>
              <w:t>。</w:t>
            </w:r>
          </w:p>
          <w:p w14:paraId="741F4416">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2.汽车轮毂加工工艺与技术</w:t>
            </w:r>
            <w:r>
              <w:rPr>
                <w:rFonts w:hint="eastAsia" w:ascii="黑体" w:hAnsi="黑体" w:eastAsia="黑体" w:cs="黑体"/>
                <w:b w:val="0"/>
                <w:bCs/>
                <w:kern w:val="2"/>
                <w:sz w:val="21"/>
                <w:szCs w:val="22"/>
                <w:lang w:val="en-US" w:eastAsia="zh-CN" w:bidi="ar-SA"/>
              </w:rPr>
              <w:t>（30分钟）</w:t>
            </w:r>
          </w:p>
          <w:p w14:paraId="0BA02080">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深入讲解汽车轮毂加工的基本工艺，如车削、铣削、钻孔、磨削等工艺的特点和适用场景，通过实际加工视频演示，让学生直观感受每种工艺在轮毂加工中的效果和作用。介绍针对不同轮毂材料（如铝合金、钢等）的加工技术要点，分析不同材料加工时的切削参数选择原则，如切削速度、进给量、切削深度等。例如，对比铝合金轮毂在高速铣削时与钢轮毂的参数差异，以及如何通过优化参数提高加工效率和质量。同时，提及先进制造技术如增材制造（3D 打印）在汽车轮毂制造中的应用现状和发展趋势，拓宽学生的知识面</w:t>
            </w:r>
            <w:r>
              <w:rPr>
                <w:rFonts w:hint="eastAsia" w:ascii="黑体" w:hAnsi="黑体" w:eastAsia="黑体" w:cs="黑体"/>
                <w:b w:val="0"/>
                <w:bCs/>
                <w:kern w:val="2"/>
                <w:sz w:val="21"/>
                <w:szCs w:val="22"/>
                <w:lang w:val="en-US" w:eastAsia="zh-CN" w:bidi="ar-SA"/>
              </w:rPr>
              <w:t>。</w:t>
            </w:r>
          </w:p>
          <w:p w14:paraId="753616A3">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观察教师展示的加工视频，思考不同工艺在实际轮毂加工任务中的应用可能性。对于不同材料的加工技术要点，结合之前布置的加工任务，分析如何根据轮毂材料和设计要求选择合适的加工工艺和参数。积极参与课堂互动，与教师和同学交流自己的想法，探讨在加工复杂形状轮毂时工艺选择的最优方案。</w:t>
            </w:r>
          </w:p>
          <w:p w14:paraId="0E7B32A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3.工业机器人汽车轮毂加工编程基础</w:t>
            </w:r>
            <w:r>
              <w:rPr>
                <w:rFonts w:hint="eastAsia" w:ascii="黑体" w:hAnsi="黑体" w:eastAsia="黑体" w:cs="黑体"/>
                <w:b w:val="0"/>
                <w:bCs/>
                <w:kern w:val="2"/>
                <w:sz w:val="21"/>
                <w:szCs w:val="22"/>
                <w:lang w:val="en-US" w:eastAsia="zh-CN" w:bidi="ar-SA"/>
              </w:rPr>
              <w:t>（45分钟）</w:t>
            </w:r>
          </w:p>
          <w:p w14:paraId="5E0ED87A">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介绍工业机器人在汽车轮毂加工中常用的编程语言和编程环境，以本次任务可能使用的编程语言为例，讲解与机器人运动控制、加工工艺控制相关的基本指令。通过简单的编程示例，演示如何控制机器人完成直线、圆弧等基本运动轨迹，实现不同加工工序的动作切换，以及如何与数控系统进行数据交互，如获取加工参数并根据参数执行相应的加工动作。例如，展示如何编写程序使机器人按照特定的路径对轮毂进行钻孔加工，以及在加工过程中如何根据刀具磨损情况调整切削参数。</w:t>
            </w:r>
          </w:p>
          <w:p w14:paraId="500A28D7">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学习编程语言的基本指令和编程逻辑，跟随教师的示例理解机器人编程与汽车轮毂加工工艺结合的方式。尝试在笔记本上记录关键指令和代码结构，为后续的编程实践做准备，同时思考如何通过编程优化加工流程，提高加工精度和效率。</w:t>
            </w:r>
          </w:p>
          <w:p w14:paraId="747D73B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4.总结与答疑（10分钟）</w:t>
            </w:r>
          </w:p>
          <w:p w14:paraId="6A87FAE7">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对本次讲解的工业机器人汽车轮毂加工基础、加工工艺与技术以及机器人加工编程基础等知识进行系统总结，强调重点和难点内容，如机器人运动控制指令的应用、不同加工工艺的参数选择技巧等。鼓励学生提出在学习过程中遇到的疑问，耐心解答学生的问题，确保学生对新知识有全面、深入的理解。</w:t>
            </w:r>
          </w:p>
          <w:p w14:paraId="6B94725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学生活动：回顾所学知识，整理笔记，将自己的疑问向教师提出。在教师解答后，进一步完善自己的知识体系，加深对知识的理解和记忆，例如明确在编写复杂轮毂加工程序时如何避免编程错误。</w:t>
            </w:r>
          </w:p>
          <w:p w14:paraId="66E34C3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三、任务实施（4学时-1800分钟）</w:t>
            </w:r>
          </w:p>
          <w:p w14:paraId="3944EAD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1.方案细化（30分钟）</w:t>
            </w:r>
          </w:p>
          <w:p w14:paraId="1DF63912">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再次明确汽车轮毂加工任务要求，引导各小组根据之前所学的汽车轮毂加工知识，对之前讨论的加工方案进行细化。提示学生从加工工艺的具体选择、机器人运动轨迹的精确规划、加工参数的合理设置等方面进行完善。在各小组讨论过程中，教师巡视指导，对遇到困难的小组提供针对性的建议和帮助，比如建议小组在加工复杂曲面轮毂时，考虑采用五轴联动加工工艺。</w:t>
            </w:r>
          </w:p>
          <w:p w14:paraId="6E515FC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结合新知识，深入讨论并细化任务方案。例如，确定针对铝合金轮毂采用高速铣削工艺，详细规划机器人在不同加工工序（如钻孔、铣面、打磨）的运动速度和路径，以及设置加工系统的相关参数，如刀具的转速、进给量等。将细化后的方案以书面形式整理出来，包括加工工艺流程图、关键参数表等。</w:t>
            </w:r>
          </w:p>
          <w:p w14:paraId="1049A09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2.编程实现（90分钟）</w:t>
            </w:r>
          </w:p>
          <w:p w14:paraId="18D9B060">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学生开始编程后，教师密切关注各小组的编程进展。对编程过程中遇到困难的学生或小组，及时给予技术支持，如帮助解决编程语法错误、逻辑错误，指导如何实现机器人运动控制与加工工艺的协同。鼓励学生在编程过程中注重代码的规范性和可读性，合理添加注释，方便后续调试和维护。比如，教师可以展示一些规范的编程案例，让学生学习如何编写清晰易懂的代码。</w:t>
            </w:r>
          </w:p>
          <w:p w14:paraId="2B92AC1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按照小组细化后的方案，分工协作进行编程。利用所学的工业机器人编程语言和指令，实现机器人根据加工任务要求对汽车轮毂进行加工的功能。在编程过程中，小组成员相互交流、检查代码，及时发现并解决问题。对编写好的程序进行初步调试，观察机器人的动作和加工效果，记录出现的异常情况，如机器人加工路径偏差、刀具切削异常等。</w:t>
            </w:r>
          </w:p>
          <w:p w14:paraId="1250C6F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3.系统调试（30分钟）</w:t>
            </w:r>
          </w:p>
          <w:p w14:paraId="1A53058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指导学生进行系统调试，包括硬件设备的连接与调试，如工业机器人的安装与校准、刀具与工件的位置调整等，以及软件系统的调试，如加工工艺参数的优化、机器人运动控制程序的微调等。提醒学生在调试过程中注意观察系统的运行状态，分析出现问题的原因，如加工尺寸偏差可能是刀具磨损、加工参数设置不合理，或者是机器人运动精度不足。对学生在调试中遇到的共性问题，进行集中讲解和指导。</w:t>
            </w:r>
          </w:p>
          <w:p w14:paraId="09BD2803">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逐步进行硬件和软件的调试工作。仔细观察系统运行情况，记录调试过程中的参数变化和出现的问题，如刀具振动过大、加工表面粗糙度不符合要求等。针对问题，从硬件和软件两方面进行分析，尝试不同的解决方法，如更换刀具、调整编程逻辑、优化加工参数等。反复调试，直至系统能够较为稳定地运行，达到任务要求的加工精度和效率。</w:t>
            </w:r>
          </w:p>
          <w:p w14:paraId="61615D60">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4.成果展示与总结（30分钟）</w:t>
            </w:r>
          </w:p>
          <w:p w14:paraId="72B8CB23">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教师活动：各小组依次展示任务成果，每个小组有 10 - 15 分钟的展示时间，包括加工成品展示和方案讲解。教师和其他小组成员认真观看展示，记录各小组的优点和不足。展示结束后，教师对各小组的成果进行评价，从任务完成情况、技术应用合理性、创新点、团队协作等方面进行全面点评，肯定学生的努力和取得的成绩，同时指出存在的问题和改进方向。最后，对整个汽车轮毂数控加工教学内容进行总结，强化学生对重点知识和技能的掌握。</w:t>
            </w:r>
          </w:p>
          <w:p w14:paraId="7DA894CA">
            <w:pPr>
              <w:jc w:val="left"/>
            </w:pPr>
            <w:r>
              <w:rPr>
                <w:rFonts w:hint="eastAsia" w:ascii="黑体" w:hAnsi="黑体" w:eastAsia="黑体" w:cs="黑体"/>
                <w:b w:val="0"/>
                <w:bCs/>
                <w:kern w:val="2"/>
                <w:sz w:val="21"/>
                <w:szCs w:val="22"/>
                <w:lang w:val="en-US" w:eastAsia="zh-CN" w:bidi="ar-SA"/>
              </w:rPr>
              <w:t xml:space="preserve">  生活动：各小组代表进行成果展示，清晰地阐述任务方案、编程思路、调试过程以及最终的加工成果。在其他小组展示时，认真倾听和观察，学习他人的优点。接受教师的评价，反思自己小组在任务实施过程中的不足之处，记录教师提出的改进建议。通过本次成果展示与总结，进一步提升对汽车轮毂数控加工的理解和实践能力。</w:t>
            </w:r>
            <w:bookmarkStart w:id="2" w:name="_GoBack"/>
            <w:bookmarkEnd w:id="2"/>
          </w:p>
        </w:tc>
      </w:tr>
      <w:tr w14:paraId="007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57DAF66D">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课后作业</w:t>
            </w:r>
          </w:p>
          <w:p w14:paraId="5B74EA11">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与评价</w:t>
            </w:r>
          </w:p>
        </w:tc>
        <w:tc>
          <w:tcPr>
            <w:tcW w:w="8466" w:type="dxa"/>
            <w:gridSpan w:val="3"/>
            <w:vAlign w:val="center"/>
          </w:tcPr>
          <w:p w14:paraId="4B35D82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一、作业任务</w:t>
            </w:r>
          </w:p>
          <w:p w14:paraId="3B8BBCC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bCs w:val="0"/>
                <w:kern w:val="2"/>
                <w:sz w:val="21"/>
                <w:szCs w:val="22"/>
                <w:lang w:val="en-US" w:eastAsia="zh-CN" w:bidi="ar-SA"/>
              </w:rPr>
              <w:t>1.理论知识巩固作业（必做，占总成绩 30%</w:t>
            </w:r>
            <w:r>
              <w:rPr>
                <w:rFonts w:hint="eastAsia" w:ascii="黑体" w:hAnsi="黑体" w:eastAsia="黑体" w:cs="黑体"/>
                <w:b w:val="0"/>
                <w:bCs/>
                <w:kern w:val="2"/>
                <w:sz w:val="21"/>
                <w:szCs w:val="22"/>
                <w:lang w:val="en-US" w:eastAsia="zh-CN" w:bidi="ar-SA"/>
              </w:rPr>
              <w:t>）</w:t>
            </w:r>
          </w:p>
          <w:p w14:paraId="5C3817A4">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任务内容：课后习题。</w:t>
            </w:r>
          </w:p>
          <w:p w14:paraId="2ACA666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完成时间：课后一周内完成。</w:t>
            </w:r>
          </w:p>
          <w:p w14:paraId="55D19271">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2.实践操作拓展作业（必做，占总成绩 50%）</w:t>
            </w:r>
          </w:p>
          <w:p w14:paraId="64824B5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内容：给定一个实际工业场景的模拟任务，要求学生以小组为单位（每组3-4人），利用视觉系统对轮毂进行分类，并使用工业机器人对轮毂进行分拣。同时，记录调试过程中的参数变化和遇到的问题及解决方法。</w:t>
            </w:r>
          </w:p>
          <w:p w14:paraId="781E196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完成时间：课后两周内完成，期间需安排一次小组讨论和中期检查，确保任务进度。</w:t>
            </w:r>
          </w:p>
          <w:p w14:paraId="180B694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二、考评安排</w:t>
            </w:r>
          </w:p>
          <w:p w14:paraId="26063175">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1.理论知识巩固作业考评</w:t>
            </w:r>
          </w:p>
          <w:p w14:paraId="54CB721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批改方式：教师统一批改，按照标准答案和评分细则进行打分。</w:t>
            </w:r>
          </w:p>
          <w:p w14:paraId="72FBEC3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选择题、填空题主要考查基础知识的掌握，答案准确即可得分；简答题要求回答全面、逻辑清晰，根据要点完整性和阐述准确性打分；编程题根据程序的正确性、规范性、代码逻辑以及注释的完整性等方面进行评分。</w:t>
            </w:r>
          </w:p>
          <w:p w14:paraId="2782AB33">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2.实践操作拓展作业考评</w:t>
            </w:r>
          </w:p>
          <w:p w14:paraId="53DA592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考评方式：采用小组汇报展示和实际操作演示相结合的方式，由教师和其他小组同学共同参与评价。</w:t>
            </w:r>
          </w:p>
          <w:p w14:paraId="5C4AC00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w:t>
            </w:r>
          </w:p>
          <w:p w14:paraId="3AB81D7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任务完成情况（40%）：机器人是否能够准确、高效地完成模拟生产线上的抓取和放置任务，动作的精准度和效率是否达到一定标准。</w:t>
            </w:r>
          </w:p>
          <w:p w14:paraId="617C03A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伺服轴调试过程（30%）：调试过程中参数调整的合理性，对伺服轴特性的理解和运用能力，能否根据实际情况分析和解决调试过程中出现的问题，记录是否详细准确。</w:t>
            </w:r>
          </w:p>
          <w:p w14:paraId="445ADF1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团队协作与沟通（20%）：小组内成员分工是否合理，协作是否顺畅，在汇报展示中团队成员的参与度和沟通效果。</w:t>
            </w:r>
          </w:p>
          <w:p w14:paraId="72D1679F">
            <w:pPr>
              <w:jc w:val="left"/>
            </w:pPr>
            <w:r>
              <w:rPr>
                <w:rFonts w:hint="eastAsia" w:ascii="黑体" w:hAnsi="黑体" w:eastAsia="黑体" w:cs="黑体"/>
                <w:b w:val="0"/>
                <w:bCs/>
                <w:kern w:val="2"/>
                <w:sz w:val="21"/>
                <w:szCs w:val="22"/>
                <w:lang w:val="en-US" w:eastAsia="zh-CN" w:bidi="ar-SA"/>
              </w:rPr>
              <w:t>汇报展示效果（10%）：汇报内容是否清晰、有条理，能够准确展示任务完成过程、调试方法和结果，演示过程操作熟练、讲解清晰。</w:t>
            </w:r>
          </w:p>
        </w:tc>
      </w:tr>
      <w:tr w14:paraId="35EA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6B7149D5">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总结与反思</w:t>
            </w:r>
          </w:p>
        </w:tc>
        <w:tc>
          <w:tcPr>
            <w:tcW w:w="8466" w:type="dxa"/>
            <w:gridSpan w:val="3"/>
            <w:vAlign w:val="center"/>
          </w:tcPr>
          <w:p w14:paraId="68AE392C">
            <w:pPr>
              <w:jc w:val="left"/>
            </w:pPr>
          </w:p>
        </w:tc>
      </w:tr>
    </w:tbl>
    <w:p w14:paraId="3B27280F"/>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FZLTZHUNHK--GBK1-0">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FZLTHK--GBK1-0">
    <w:altName w:val="ksdb"/>
    <w:panose1 w:val="00000000000000000000"/>
    <w:charset w:val="00"/>
    <w:family w:val="auto"/>
    <w:pitch w:val="default"/>
    <w:sig w:usb0="00000000" w:usb1="00000000" w:usb2="00000000" w:usb3="00000000" w:csb0="00000000" w:csb1="00000000"/>
  </w:font>
  <w:font w:name="FZSSK--GBK1-0">
    <w:altName w:val="ksdb"/>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iZDIyNjM5MWVkNWU2NWNhNzY2NTRiNWZkY2MyNTYifQ=="/>
  </w:docVars>
  <w:rsids>
    <w:rsidRoot w:val="00972C96"/>
    <w:rsid w:val="0005121D"/>
    <w:rsid w:val="00053647"/>
    <w:rsid w:val="0009074C"/>
    <w:rsid w:val="00217DE0"/>
    <w:rsid w:val="00343936"/>
    <w:rsid w:val="004246CF"/>
    <w:rsid w:val="005C57B4"/>
    <w:rsid w:val="005F0EE1"/>
    <w:rsid w:val="006F5C90"/>
    <w:rsid w:val="006F5F90"/>
    <w:rsid w:val="007B78FA"/>
    <w:rsid w:val="007E1B64"/>
    <w:rsid w:val="007F12D6"/>
    <w:rsid w:val="008070D6"/>
    <w:rsid w:val="00853906"/>
    <w:rsid w:val="008E003B"/>
    <w:rsid w:val="009544D0"/>
    <w:rsid w:val="00972C96"/>
    <w:rsid w:val="009C463E"/>
    <w:rsid w:val="00A43EDB"/>
    <w:rsid w:val="00BB18AD"/>
    <w:rsid w:val="00BE781F"/>
    <w:rsid w:val="00BF5616"/>
    <w:rsid w:val="00D46E22"/>
    <w:rsid w:val="00D87842"/>
    <w:rsid w:val="00D94CDA"/>
    <w:rsid w:val="00DA7FF4"/>
    <w:rsid w:val="00DC092B"/>
    <w:rsid w:val="00E31E24"/>
    <w:rsid w:val="00E45F73"/>
    <w:rsid w:val="00E811BE"/>
    <w:rsid w:val="00EA257B"/>
    <w:rsid w:val="03EF2B13"/>
    <w:rsid w:val="0BD460C1"/>
    <w:rsid w:val="0C356AA6"/>
    <w:rsid w:val="13554E9C"/>
    <w:rsid w:val="16BB1643"/>
    <w:rsid w:val="27484E85"/>
    <w:rsid w:val="3557659E"/>
    <w:rsid w:val="37ED7A3F"/>
    <w:rsid w:val="42402890"/>
    <w:rsid w:val="439636E9"/>
    <w:rsid w:val="45031FD6"/>
    <w:rsid w:val="4CCA695C"/>
    <w:rsid w:val="58632B7A"/>
    <w:rsid w:val="5A5A6D5E"/>
    <w:rsid w:val="5A844484"/>
    <w:rsid w:val="5AFE6E6B"/>
    <w:rsid w:val="5E3941D5"/>
    <w:rsid w:val="5E7E3032"/>
    <w:rsid w:val="633F11E7"/>
    <w:rsid w:val="6DBD5C02"/>
    <w:rsid w:val="6E094BA3"/>
    <w:rsid w:val="70E909E4"/>
    <w:rsid w:val="75FDA171"/>
    <w:rsid w:val="7FF7E065"/>
    <w:rsid w:val="BFFF1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20"/>
      <w:szCs w:val="20"/>
      <w:lang w:val="en-US" w:eastAsia="en-US" w:bidi="ar-SA"/>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6238</Words>
  <Characters>6355</Characters>
  <Lines>7</Lines>
  <Paragraphs>2</Paragraphs>
  <TotalTime>21</TotalTime>
  <ScaleCrop>false</ScaleCrop>
  <LinksUpToDate>false</LinksUpToDate>
  <CharactersWithSpaces>6388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2023-11-19T12:31:00Z</dcterms:created>
  <dc:creator>蒋建伟</dc:creator>
  <cp:lastModifiedBy>阿木</cp:lastModifiedBy>
  <dcterms:modified xsi:type="dcterms:W3CDTF">2025-02-18T03:05:01Z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5315785CAA6642DC824895F84AD04FD4_12</vt:lpwstr>
  </property>
  <property fmtid="{D5CDD505-2E9C-101B-9397-08002B2CF9AE}" pid="4" name="KSOTemplateDocerSaveRecord">
    <vt:lpwstr>eyJoZGlkIjoiZDhjNTRiM2EwODI0ZWFkZjY4YzI4MmI0YjY2YTU2YzYiLCJ1c2VySWQiOiIzMTQ3ODUwMzIifQ==</vt:lpwstr>
  </property>
</Properties>
</file>