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89C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sz w:val="28"/>
          <w:szCs w:val="28"/>
        </w:rPr>
      </w:pPr>
      <w:r>
        <w:rPr>
          <w:rFonts w:hint="eastAsia" w:ascii="黑体" w:hAnsi="黑体" w:eastAsia="黑体" w:cs="黑体"/>
          <w:b w:val="0"/>
          <w:bCs/>
          <w:sz w:val="28"/>
          <w:szCs w:val="28"/>
        </w:rPr>
        <w:t>《</w:t>
      </w:r>
      <w:r>
        <w:rPr>
          <w:rFonts w:hint="eastAsia" w:ascii="黑体" w:hAnsi="黑体" w:eastAsia="黑体" w:cs="黑体"/>
          <w:b w:val="0"/>
          <w:bCs/>
          <w:sz w:val="28"/>
          <w:szCs w:val="28"/>
          <w:lang w:val="en-US" w:eastAsia="zh-CN"/>
        </w:rPr>
        <w:t>工业机器人应用系统集成</w:t>
      </w:r>
      <w:r>
        <w:rPr>
          <w:rFonts w:hint="eastAsia" w:ascii="黑体" w:hAnsi="黑体" w:eastAsia="黑体" w:cs="黑体"/>
          <w:b w:val="0"/>
          <w:bCs/>
          <w:sz w:val="28"/>
          <w:szCs w:val="28"/>
        </w:rPr>
        <w:t>》教案（</w:t>
      </w:r>
      <w:r>
        <w:rPr>
          <w:rFonts w:hint="eastAsia" w:ascii="黑体" w:hAnsi="黑体" w:eastAsia="黑体" w:cs="黑体"/>
          <w:b w:val="0"/>
          <w:bCs/>
          <w:sz w:val="28"/>
          <w:szCs w:val="28"/>
          <w:lang w:val="en-US" w:eastAsia="zh-CN"/>
        </w:rPr>
        <w:t>2024-2025第二学期</w:t>
      </w:r>
      <w:r>
        <w:rPr>
          <w:rFonts w:hint="eastAsia" w:ascii="黑体" w:hAnsi="黑体" w:eastAsia="黑体" w:cs="黑体"/>
          <w:b w:val="0"/>
          <w:bCs/>
          <w:sz w:val="28"/>
          <w:szCs w:val="28"/>
        </w:rPr>
        <w:t>）</w:t>
      </w:r>
    </w:p>
    <w:p w14:paraId="54FF2668">
      <w:pPr>
        <w:spacing w:line="240" w:lineRule="auto"/>
        <w:jc w:val="center"/>
        <w:rPr>
          <w:rFonts w:hint="eastAsia" w:ascii="黑体" w:hAnsi="黑体" w:eastAsia="黑体" w:cs="黑体"/>
          <w:b w:val="0"/>
          <w:bCs/>
          <w:sz w:val="28"/>
          <w:szCs w:val="28"/>
        </w:rPr>
      </w:pPr>
      <w:r>
        <w:rPr>
          <w:rFonts w:hint="eastAsia" w:ascii="黑体" w:hAnsi="黑体" w:eastAsia="黑体" w:cs="黑体"/>
          <w:b w:val="0"/>
          <w:bCs/>
          <w:sz w:val="28"/>
          <w:szCs w:val="28"/>
        </w:rPr>
        <w:t>第</w:t>
      </w:r>
      <w:r>
        <w:rPr>
          <w:rFonts w:hint="eastAsia" w:ascii="黑体" w:hAnsi="黑体" w:eastAsia="黑体" w:cs="黑体"/>
          <w:b w:val="0"/>
          <w:bCs/>
          <w:sz w:val="28"/>
          <w:szCs w:val="28"/>
          <w:lang w:val="en-US" w:eastAsia="zh-CN"/>
        </w:rPr>
        <w:t>3.1</w:t>
      </w:r>
      <w:r>
        <w:rPr>
          <w:rFonts w:hint="eastAsia" w:ascii="黑体" w:hAnsi="黑体" w:eastAsia="黑体" w:cs="黑体"/>
          <w:b w:val="0"/>
          <w:bCs/>
          <w:sz w:val="28"/>
          <w:szCs w:val="28"/>
        </w:rPr>
        <w:t xml:space="preserve">讲 </w:t>
      </w:r>
      <w:r>
        <w:rPr>
          <w:rFonts w:hint="eastAsia" w:ascii="黑体" w:hAnsi="黑体" w:eastAsia="黑体" w:cs="黑体"/>
          <w:b w:val="0"/>
          <w:bCs/>
          <w:sz w:val="28"/>
          <w:szCs w:val="28"/>
          <w:lang w:val="en-US" w:eastAsia="zh-CN"/>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
        <w:gridCol w:w="4004"/>
        <w:gridCol w:w="1409"/>
        <w:gridCol w:w="3992"/>
      </w:tblGrid>
      <w:tr w14:paraId="2F28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3954E2A6">
            <w:pPr>
              <w:jc w:val="left"/>
              <w:rPr>
                <w:b/>
                <w:color w:val="000000" w:themeColor="text1"/>
                <w14:textFill>
                  <w14:solidFill>
                    <w14:schemeClr w14:val="tx1"/>
                  </w14:solidFill>
                </w14:textFill>
              </w:rPr>
            </w:pPr>
            <w:r>
              <w:rPr>
                <w:rFonts w:hint="eastAsia" w:ascii="黑体" w:hAnsi="黑体" w:eastAsia="黑体" w:cs="黑体"/>
                <w:b w:val="0"/>
                <w:bCs/>
                <w:color w:val="000000" w:themeColor="text1"/>
                <w14:textFill>
                  <w14:solidFill>
                    <w14:schemeClr w14:val="tx1"/>
                  </w14:solidFill>
                </w14:textFill>
              </w:rPr>
              <w:t>授课日期</w:t>
            </w:r>
          </w:p>
        </w:tc>
        <w:tc>
          <w:tcPr>
            <w:tcW w:w="4004" w:type="dxa"/>
            <w:vAlign w:val="center"/>
          </w:tcPr>
          <w:p w14:paraId="573FFCA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p>
        </w:tc>
        <w:tc>
          <w:tcPr>
            <w:tcW w:w="1409" w:type="dxa"/>
            <w:vAlign w:val="center"/>
          </w:tcPr>
          <w:p w14:paraId="0B127E5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授课班级</w:t>
            </w:r>
          </w:p>
        </w:tc>
        <w:tc>
          <w:tcPr>
            <w:tcW w:w="3992" w:type="dxa"/>
            <w:vAlign w:val="center"/>
          </w:tcPr>
          <w:p w14:paraId="12D2EED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p>
        </w:tc>
      </w:tr>
      <w:tr w14:paraId="1640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53A2923B">
            <w:pPr>
              <w:jc w:val="left"/>
              <w:rPr>
                <w:rFonts w:hint="eastAsia"/>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教案主题</w:t>
            </w:r>
          </w:p>
        </w:tc>
        <w:tc>
          <w:tcPr>
            <w:tcW w:w="9405" w:type="dxa"/>
            <w:gridSpan w:val="3"/>
            <w:vAlign w:val="center"/>
          </w:tcPr>
          <w:p w14:paraId="1A1F766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任务3.1 汽车轮毂数控加工工作站虚拟搭建及调试</w:t>
            </w:r>
          </w:p>
        </w:tc>
      </w:tr>
      <w:tr w14:paraId="6F9C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03537795">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学时分配</w:t>
            </w:r>
          </w:p>
        </w:tc>
        <w:tc>
          <w:tcPr>
            <w:tcW w:w="4004" w:type="dxa"/>
            <w:vAlign w:val="center"/>
          </w:tcPr>
          <w:p w14:paraId="555B699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理实一体化教学2学时</w:t>
            </w:r>
          </w:p>
        </w:tc>
        <w:tc>
          <w:tcPr>
            <w:tcW w:w="1409" w:type="dxa"/>
            <w:vAlign w:val="center"/>
          </w:tcPr>
          <w:p w14:paraId="76E3D79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主讲教师</w:t>
            </w:r>
          </w:p>
        </w:tc>
        <w:tc>
          <w:tcPr>
            <w:tcW w:w="3992" w:type="dxa"/>
            <w:vAlign w:val="center"/>
          </w:tcPr>
          <w:p w14:paraId="6A1A8E5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锡林高娃</w:t>
            </w:r>
          </w:p>
        </w:tc>
      </w:tr>
      <w:tr w14:paraId="16FC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449" w:type="dxa"/>
            <w:vAlign w:val="center"/>
          </w:tcPr>
          <w:p w14:paraId="5B96AFE2">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教学目标</w:t>
            </w:r>
          </w:p>
        </w:tc>
        <w:tc>
          <w:tcPr>
            <w:tcW w:w="9405" w:type="dxa"/>
            <w:gridSpan w:val="3"/>
            <w:vAlign w:val="center"/>
          </w:tcPr>
          <w:p w14:paraId="7A08EA53">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知识目标 </w:t>
            </w:r>
          </w:p>
          <w:p w14:paraId="76D4376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了解数控加工工作站的组成。</w:t>
            </w:r>
          </w:p>
          <w:p w14:paraId="03F26722">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掌握 PQArt 软件中数控加工工作站的搭建方法。</w:t>
            </w:r>
          </w:p>
          <w:p w14:paraId="75D3A7E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掌握 PQArt 软件中数控加工工作站的仿真运行方法。</w:t>
            </w:r>
            <w:r>
              <w:rPr>
                <w:rFonts w:hint="eastAsia" w:ascii="黑体" w:hAnsi="黑体" w:eastAsia="黑体" w:cs="黑体"/>
                <w:b w:val="0"/>
                <w:bCs/>
                <w:kern w:val="2"/>
                <w:sz w:val="21"/>
                <w:szCs w:val="22"/>
                <w:lang w:val="en-US" w:eastAsia="zh-CN" w:bidi="ar-SA"/>
              </w:rPr>
              <w:t xml:space="preserve"> </w:t>
            </w:r>
          </w:p>
          <w:p w14:paraId="4AC54D6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技能目标 </w:t>
            </w:r>
          </w:p>
          <w:p w14:paraId="385C96C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能够根据控制要求搭建数控加工工作站。</w:t>
            </w:r>
          </w:p>
          <w:p w14:paraId="10813D9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 xml:space="preserve">能够根据控制要求完成数控加工工作站运行仿真。 </w:t>
            </w:r>
          </w:p>
          <w:p w14:paraId="098A3AD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素质目标 </w:t>
            </w:r>
          </w:p>
          <w:p w14:paraId="38F757FE">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养成安全与环保责任意识。</w:t>
            </w:r>
          </w:p>
          <w:p w14:paraId="01FD4E4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树立探索精神。</w:t>
            </w:r>
          </w:p>
          <w:p w14:paraId="25FC046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培养严谨求实、认真负责、踏实敬业的工作态度。</w:t>
            </w:r>
          </w:p>
          <w:p w14:paraId="160BECD0">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 xml:space="preserve">提高动手、动脑和勇于创新的积极性。养成勤思考、爱分析的思维方式。 </w:t>
            </w:r>
          </w:p>
          <w:p w14:paraId="29563D2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p>
        </w:tc>
      </w:tr>
      <w:tr w14:paraId="76FA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7840686E">
            <w:pPr>
              <w:jc w:val="left"/>
              <w:rPr>
                <w:b/>
                <w:color w:val="000000" w:themeColor="text1"/>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教学重点</w:t>
            </w:r>
          </w:p>
        </w:tc>
        <w:tc>
          <w:tcPr>
            <w:tcW w:w="9405" w:type="dxa"/>
            <w:gridSpan w:val="3"/>
            <w:vAlign w:val="center"/>
          </w:tcPr>
          <w:p w14:paraId="62450B2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 xml:space="preserve"> PQArt 软件中数控加工工作站的仿真运行方法</w:t>
            </w:r>
          </w:p>
        </w:tc>
      </w:tr>
      <w:tr w14:paraId="16424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7A7C5E37">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教学难点</w:t>
            </w:r>
          </w:p>
        </w:tc>
        <w:tc>
          <w:tcPr>
            <w:tcW w:w="9405" w:type="dxa"/>
            <w:gridSpan w:val="3"/>
            <w:vAlign w:val="center"/>
          </w:tcPr>
          <w:p w14:paraId="5661736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数控加工轨迹设计</w:t>
            </w:r>
          </w:p>
        </w:tc>
      </w:tr>
      <w:tr w14:paraId="60BC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2" w:hRule="atLeast"/>
        </w:trPr>
        <w:tc>
          <w:tcPr>
            <w:tcW w:w="449" w:type="dxa"/>
            <w:vAlign w:val="center"/>
          </w:tcPr>
          <w:p w14:paraId="1CBF7B1B">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教学设计</w:t>
            </w:r>
          </w:p>
          <w:p w14:paraId="30542182">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思路</w:t>
            </w:r>
          </w:p>
        </w:tc>
        <w:tc>
          <w:tcPr>
            <w:tcW w:w="9405" w:type="dxa"/>
            <w:gridSpan w:val="3"/>
            <w:vAlign w:val="center"/>
          </w:tcPr>
          <w:p w14:paraId="13085981">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教学内容重塑</w:t>
            </w:r>
          </w:p>
          <w:p w14:paraId="6D255FF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23" w:line="240" w:lineRule="auto"/>
              <w:ind w:leftChars="-19"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原则：紧密围绕工业实际需求，确保学生所学知识与技能能直接应用于工业机器人</w:t>
            </w:r>
            <w:r>
              <w:rPr>
                <w:rFonts w:hint="eastAsia" w:ascii="黑体" w:hAnsi="黑体" w:eastAsia="黑体" w:cs="黑体"/>
                <w:b w:val="0"/>
                <w:bCs/>
                <w:kern w:val="2"/>
                <w:sz w:val="21"/>
                <w:szCs w:val="22"/>
                <w:lang w:val="en-US" w:eastAsia="zh-CN" w:bidi="ar-SA"/>
              </w:rPr>
              <w:t>轮毂数控加工</w:t>
            </w:r>
            <w:r>
              <w:rPr>
                <w:rFonts w:hint="default" w:ascii="黑体" w:hAnsi="黑体" w:eastAsia="黑体" w:cs="黑体"/>
                <w:b w:val="0"/>
                <w:bCs/>
                <w:kern w:val="2"/>
                <w:sz w:val="21"/>
                <w:szCs w:val="22"/>
                <w:lang w:val="en-US" w:eastAsia="zh-CN" w:bidi="ar-SA"/>
              </w:rPr>
              <w:t>工作场景。着重培养学生的</w:t>
            </w:r>
            <w:r>
              <w:rPr>
                <w:rFonts w:hint="eastAsia" w:ascii="黑体" w:hAnsi="黑体" w:eastAsia="黑体" w:cs="黑体"/>
                <w:b w:val="0"/>
                <w:bCs/>
                <w:kern w:val="2"/>
                <w:sz w:val="21"/>
                <w:szCs w:val="22"/>
                <w:lang w:val="en-US" w:eastAsia="zh-CN" w:bidi="ar-SA"/>
              </w:rPr>
              <w:t>虚拟仿真能力、</w:t>
            </w:r>
            <w:r>
              <w:rPr>
                <w:rFonts w:hint="default" w:ascii="黑体" w:hAnsi="黑体" w:eastAsia="黑体" w:cs="黑体"/>
                <w:b w:val="0"/>
                <w:bCs/>
                <w:kern w:val="2"/>
                <w:sz w:val="21"/>
                <w:szCs w:val="22"/>
                <w:lang w:val="en-US" w:eastAsia="zh-CN" w:bidi="ar-SA"/>
              </w:rPr>
              <w:t>实践能力、问题解决能力以及创新思维，以适应未来复杂多变的工业环境。遵循学生的认知规律，由浅入深、从理论到实践逐步安排教学内容，帮助学生扎实掌握知识与技能。</w:t>
            </w:r>
          </w:p>
          <w:p w14:paraId="013FBB8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方法</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打破传统学科界限，将机器人技术</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自动化控制等相关知识进行有机整合，构建以工业机器人</w:t>
            </w:r>
            <w:r>
              <w:rPr>
                <w:rFonts w:hint="eastAsia" w:ascii="黑体" w:hAnsi="黑体" w:eastAsia="黑体" w:cs="黑体"/>
                <w:b w:val="0"/>
                <w:bCs/>
                <w:kern w:val="2"/>
                <w:sz w:val="21"/>
                <w:szCs w:val="22"/>
                <w:lang w:val="en-US" w:eastAsia="zh-CN" w:bidi="ar-SA"/>
              </w:rPr>
              <w:t>轮毂数控加工</w:t>
            </w:r>
            <w:r>
              <w:rPr>
                <w:rFonts w:hint="default" w:ascii="黑体" w:hAnsi="黑体" w:eastAsia="黑体" w:cs="黑体"/>
                <w:b w:val="0"/>
                <w:bCs/>
                <w:kern w:val="2"/>
                <w:sz w:val="21"/>
                <w:szCs w:val="22"/>
                <w:lang w:val="en-US" w:eastAsia="zh-CN" w:bidi="ar-SA"/>
              </w:rPr>
              <w:t>作业为核心的知识体系。引入实际项目案例，以项目任务驱动学生学习，让学生在完成项目的过程中掌握知识和技能，培养团队协作和自主学习能力。</w:t>
            </w:r>
          </w:p>
          <w:p w14:paraId="234687B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内容结构</w:t>
            </w:r>
          </w:p>
          <w:p w14:paraId="7E60F87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1）工业机器人基本操作</w:t>
            </w:r>
          </w:p>
          <w:p w14:paraId="646F3CE6">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PQArt仿真软件基本操作</w:t>
            </w:r>
          </w:p>
          <w:p w14:paraId="1E9E90AF">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机器人轮毂数控加工操作。</w:t>
            </w:r>
          </w:p>
          <w:p w14:paraId="2CA61E36">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二、教学资源</w:t>
            </w:r>
          </w:p>
          <w:p w14:paraId="0B7B357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教学视频</w:t>
            </w:r>
          </w:p>
          <w:p w14:paraId="1DCDA1A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    </w:t>
            </w:r>
            <w:r>
              <w:rPr>
                <w:rFonts w:hint="default" w:ascii="黑体" w:hAnsi="黑体" w:eastAsia="黑体" w:cs="黑体"/>
                <w:b w:val="0"/>
                <w:bCs/>
                <w:kern w:val="2"/>
                <w:sz w:val="21"/>
                <w:szCs w:val="22"/>
                <w:lang w:val="en-US" w:eastAsia="zh-CN" w:bidi="ar-SA"/>
              </w:rPr>
              <w:t>针对关键知识点和实践操作环节，制作一系列自建视频。如</w:t>
            </w:r>
            <w:r>
              <w:rPr>
                <w:rFonts w:hint="eastAsia" w:ascii="黑体" w:hAnsi="黑体" w:eastAsia="黑体" w:cs="黑体"/>
                <w:b w:val="0"/>
                <w:bCs/>
                <w:kern w:val="2"/>
                <w:sz w:val="21"/>
                <w:szCs w:val="22"/>
                <w:lang w:val="en-US" w:eastAsia="zh-CN" w:bidi="ar-SA"/>
              </w:rPr>
              <w:t>PQArt工业机器人轮毂数控加工仿真步骤</w:t>
            </w:r>
            <w:r>
              <w:rPr>
                <w:rFonts w:hint="default" w:ascii="黑体" w:hAnsi="黑体" w:eastAsia="黑体" w:cs="黑体"/>
                <w:b w:val="0"/>
                <w:bCs/>
                <w:kern w:val="2"/>
                <w:sz w:val="21"/>
                <w:szCs w:val="22"/>
                <w:lang w:val="en-US" w:eastAsia="zh-CN" w:bidi="ar-SA"/>
              </w:rPr>
              <w:t>讲解等，这些视频更具针对性，紧密结合实际教学需求，能有效辅助学生理解和掌握重难点内容。</w:t>
            </w:r>
          </w:p>
          <w:p w14:paraId="776B1B6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案例库</w:t>
            </w:r>
          </w:p>
          <w:p w14:paraId="1F618C4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8" w:leftChars="0" w:firstLine="369" w:firstLineChars="176"/>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收集实际工业生产中不同类型产品的</w:t>
            </w:r>
            <w:r>
              <w:rPr>
                <w:rFonts w:hint="eastAsia" w:ascii="黑体" w:hAnsi="黑体" w:eastAsia="黑体" w:cs="黑体"/>
                <w:b w:val="0"/>
                <w:bCs/>
                <w:kern w:val="2"/>
                <w:sz w:val="21"/>
                <w:szCs w:val="22"/>
                <w:lang w:val="en-US" w:eastAsia="zh-CN" w:bidi="ar-SA"/>
              </w:rPr>
              <w:t>搬运过程中选设计的路径</w:t>
            </w:r>
            <w:r>
              <w:rPr>
                <w:rFonts w:hint="default" w:ascii="黑体" w:hAnsi="黑体" w:eastAsia="黑体" w:cs="黑体"/>
                <w:b w:val="0"/>
                <w:bCs/>
                <w:kern w:val="2"/>
                <w:sz w:val="21"/>
                <w:szCs w:val="22"/>
                <w:lang w:val="en-US" w:eastAsia="zh-CN" w:bidi="ar-SA"/>
              </w:rPr>
              <w:t>，如</w:t>
            </w:r>
            <w:r>
              <w:rPr>
                <w:rFonts w:hint="eastAsia" w:ascii="黑体" w:hAnsi="黑体" w:eastAsia="黑体" w:cs="黑体"/>
                <w:b w:val="0"/>
                <w:bCs/>
                <w:kern w:val="2"/>
                <w:sz w:val="21"/>
                <w:szCs w:val="22"/>
                <w:lang w:val="en-US" w:eastAsia="zh-CN" w:bidi="ar-SA"/>
              </w:rPr>
              <w:t>轮毂数控加工、螺丝数控加工</w:t>
            </w:r>
            <w:r>
              <w:rPr>
                <w:rFonts w:hint="default" w:ascii="黑体" w:hAnsi="黑体" w:eastAsia="黑体" w:cs="黑体"/>
                <w:b w:val="0"/>
                <w:bCs/>
                <w:kern w:val="2"/>
                <w:sz w:val="21"/>
                <w:szCs w:val="22"/>
                <w:lang w:val="en-US" w:eastAsia="zh-CN" w:bidi="ar-SA"/>
              </w:rPr>
              <w:t>等。详细分析案例背景、项目需求、解决方案以及实施过程中的经验教训，引导学生从实际案例中学习知识和方法。</w:t>
            </w:r>
          </w:p>
          <w:p w14:paraId="09D4CFA5">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习题库</w:t>
            </w:r>
          </w:p>
          <w:p w14:paraId="702AF3B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题型设置：涵盖选择题、填空题、简答题、编程题和案例分析题等多种题型。选择题和填空题主要考查基础知识的掌握情况；简答题用于检测学生对重要概念和原理的理解；编程题要求学生运用所学编程语言实现特定的</w:t>
            </w:r>
            <w:r>
              <w:rPr>
                <w:rFonts w:hint="eastAsia" w:ascii="黑体" w:hAnsi="黑体" w:eastAsia="黑体" w:cs="黑体"/>
                <w:b w:val="0"/>
                <w:bCs/>
                <w:kern w:val="2"/>
                <w:sz w:val="21"/>
                <w:szCs w:val="22"/>
                <w:lang w:val="en-US" w:eastAsia="zh-CN" w:bidi="ar-SA"/>
              </w:rPr>
              <w:t>数控加工</w:t>
            </w:r>
            <w:r>
              <w:rPr>
                <w:rFonts w:hint="default" w:ascii="黑体" w:hAnsi="黑体" w:eastAsia="黑体" w:cs="黑体"/>
                <w:b w:val="0"/>
                <w:bCs/>
                <w:kern w:val="2"/>
                <w:sz w:val="21"/>
                <w:szCs w:val="22"/>
                <w:lang w:val="en-US" w:eastAsia="zh-CN" w:bidi="ar-SA"/>
              </w:rPr>
              <w:t>功能；案例分析题则培养学生分析和解决实际问题的能力。</w:t>
            </w:r>
          </w:p>
          <w:p w14:paraId="168A0F4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实验项目库</w:t>
            </w:r>
          </w:p>
          <w:p w14:paraId="4E67B62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基础实验：如 “</w:t>
            </w:r>
            <w:r>
              <w:rPr>
                <w:rFonts w:hint="eastAsia" w:ascii="黑体" w:hAnsi="黑体" w:eastAsia="黑体" w:cs="黑体"/>
                <w:b w:val="0"/>
                <w:bCs/>
                <w:kern w:val="2"/>
                <w:sz w:val="21"/>
                <w:szCs w:val="22"/>
                <w:lang w:val="en-US" w:eastAsia="zh-CN" w:bidi="ar-SA"/>
              </w:rPr>
              <w:t>PQArt</w:t>
            </w:r>
            <w:r>
              <w:rPr>
                <w:rFonts w:hint="default" w:ascii="黑体" w:hAnsi="黑体" w:eastAsia="黑体" w:cs="黑体"/>
                <w:b w:val="0"/>
                <w:bCs/>
                <w:kern w:val="2"/>
                <w:sz w:val="21"/>
                <w:szCs w:val="22"/>
                <w:lang w:val="en-US" w:eastAsia="zh-CN" w:bidi="ar-SA"/>
              </w:rPr>
              <w:t>工业机器人</w:t>
            </w:r>
            <w:r>
              <w:rPr>
                <w:rFonts w:hint="eastAsia" w:ascii="黑体" w:hAnsi="黑体" w:eastAsia="黑体" w:cs="黑体"/>
                <w:b w:val="0"/>
                <w:bCs/>
                <w:kern w:val="2"/>
                <w:sz w:val="21"/>
                <w:szCs w:val="22"/>
                <w:lang w:val="en-US" w:eastAsia="zh-CN" w:bidi="ar-SA"/>
              </w:rPr>
              <w:t>轮毂数控加工仿真</w:t>
            </w:r>
            <w:r>
              <w:rPr>
                <w:rFonts w:hint="default" w:ascii="黑体" w:hAnsi="黑体" w:eastAsia="黑体" w:cs="黑体"/>
                <w:b w:val="0"/>
                <w:bCs/>
                <w:kern w:val="2"/>
                <w:sz w:val="21"/>
                <w:szCs w:val="22"/>
                <w:lang w:val="en-US" w:eastAsia="zh-CN" w:bidi="ar-SA"/>
              </w:rPr>
              <w:t>操作实验”，帮助学生熟悉工业机器人</w:t>
            </w:r>
            <w:r>
              <w:rPr>
                <w:rFonts w:hint="eastAsia" w:ascii="黑体" w:hAnsi="黑体" w:eastAsia="黑体" w:cs="黑体"/>
                <w:b w:val="0"/>
                <w:bCs/>
                <w:kern w:val="2"/>
                <w:sz w:val="21"/>
                <w:szCs w:val="22"/>
                <w:lang w:val="en-US" w:eastAsia="zh-CN" w:bidi="ar-SA"/>
              </w:rPr>
              <w:t>轮毂数控加工仿真</w:t>
            </w:r>
            <w:r>
              <w:rPr>
                <w:rFonts w:hint="default" w:ascii="黑体" w:hAnsi="黑体" w:eastAsia="黑体" w:cs="黑体"/>
                <w:b w:val="0"/>
                <w:bCs/>
                <w:kern w:val="2"/>
                <w:sz w:val="21"/>
                <w:szCs w:val="22"/>
                <w:lang w:val="en-US" w:eastAsia="zh-CN" w:bidi="ar-SA"/>
              </w:rPr>
              <w:t>操作</w:t>
            </w:r>
            <w:r>
              <w:rPr>
                <w:rFonts w:hint="eastAsia" w:ascii="黑体" w:hAnsi="黑体" w:eastAsia="黑体" w:cs="黑体"/>
                <w:b w:val="0"/>
                <w:bCs/>
                <w:kern w:val="2"/>
                <w:sz w:val="21"/>
                <w:szCs w:val="22"/>
                <w:lang w:val="en-US" w:eastAsia="zh-CN" w:bidi="ar-SA"/>
              </w:rPr>
              <w:t>。</w:t>
            </w:r>
          </w:p>
          <w:p w14:paraId="3384B11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0" w:leftChars="0" w:firstLine="375" w:firstLineChars="17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综合实验：“工业机器人</w:t>
            </w:r>
            <w:r>
              <w:rPr>
                <w:rFonts w:hint="eastAsia" w:ascii="黑体" w:hAnsi="黑体" w:eastAsia="黑体" w:cs="黑体"/>
                <w:b w:val="0"/>
                <w:bCs/>
                <w:kern w:val="2"/>
                <w:sz w:val="21"/>
                <w:szCs w:val="22"/>
                <w:lang w:val="en-US" w:eastAsia="zh-CN" w:bidi="ar-SA"/>
              </w:rPr>
              <w:t>轮毂数控加工</w:t>
            </w:r>
            <w:r>
              <w:rPr>
                <w:rFonts w:hint="default" w:ascii="黑体" w:hAnsi="黑体" w:eastAsia="黑体" w:cs="黑体"/>
                <w:b w:val="0"/>
                <w:bCs/>
                <w:kern w:val="2"/>
                <w:sz w:val="21"/>
                <w:szCs w:val="22"/>
                <w:lang w:val="en-US" w:eastAsia="zh-CN" w:bidi="ar-SA"/>
              </w:rPr>
              <w:t>综合实验”，要求学生</w:t>
            </w:r>
            <w:r>
              <w:rPr>
                <w:rFonts w:hint="eastAsia" w:ascii="黑体" w:hAnsi="黑体" w:eastAsia="黑体" w:cs="黑体"/>
                <w:b w:val="0"/>
                <w:bCs/>
                <w:kern w:val="2"/>
                <w:sz w:val="21"/>
                <w:szCs w:val="22"/>
                <w:lang w:val="en-US" w:eastAsia="zh-CN" w:bidi="ar-SA"/>
              </w:rPr>
              <w:t>利用仿真技术和机器人</w:t>
            </w:r>
            <w:r>
              <w:rPr>
                <w:rFonts w:hint="default" w:ascii="黑体" w:hAnsi="黑体" w:eastAsia="黑体" w:cs="黑体"/>
                <w:b w:val="0"/>
                <w:bCs/>
                <w:kern w:val="2"/>
                <w:sz w:val="21"/>
                <w:szCs w:val="22"/>
                <w:lang w:val="en-US" w:eastAsia="zh-CN" w:bidi="ar-SA"/>
              </w:rPr>
              <w:t>，完成一个完整的</w:t>
            </w:r>
            <w:r>
              <w:rPr>
                <w:rFonts w:hint="eastAsia" w:ascii="黑体" w:hAnsi="黑体" w:eastAsia="黑体" w:cs="黑体"/>
                <w:b w:val="0"/>
                <w:bCs/>
                <w:kern w:val="2"/>
                <w:sz w:val="21"/>
                <w:szCs w:val="22"/>
                <w:lang w:val="en-US" w:eastAsia="zh-CN" w:bidi="ar-SA"/>
              </w:rPr>
              <w:t>轮毂数控加工</w:t>
            </w:r>
            <w:r>
              <w:rPr>
                <w:rFonts w:hint="default" w:ascii="黑体" w:hAnsi="黑体" w:eastAsia="黑体" w:cs="黑体"/>
                <w:b w:val="0"/>
                <w:bCs/>
                <w:kern w:val="2"/>
                <w:sz w:val="21"/>
                <w:szCs w:val="22"/>
                <w:lang w:val="en-US" w:eastAsia="zh-CN" w:bidi="ar-SA"/>
              </w:rPr>
              <w:t>任务，培养学生的综合应用能力。</w:t>
            </w:r>
          </w:p>
          <w:p w14:paraId="08B66FF1">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三、教学流程及方法</w:t>
            </w:r>
          </w:p>
          <w:p w14:paraId="61FA11E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教学流程</w:t>
            </w:r>
          </w:p>
          <w:p w14:paraId="283C40F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课程导入：通过播放实际工业生产中工业机器人</w:t>
            </w:r>
            <w:r>
              <w:rPr>
                <w:rFonts w:hint="eastAsia" w:ascii="黑体" w:hAnsi="黑体" w:eastAsia="黑体" w:cs="黑体"/>
                <w:b w:val="0"/>
                <w:bCs/>
                <w:kern w:val="2"/>
                <w:sz w:val="21"/>
                <w:szCs w:val="22"/>
                <w:lang w:val="en-US" w:eastAsia="zh-CN" w:bidi="ar-SA"/>
              </w:rPr>
              <w:t>轮毂数控加工</w:t>
            </w:r>
            <w:r>
              <w:rPr>
                <w:rFonts w:hint="default" w:ascii="黑体" w:hAnsi="黑体" w:eastAsia="黑体" w:cs="黑体"/>
                <w:b w:val="0"/>
                <w:bCs/>
                <w:kern w:val="2"/>
                <w:sz w:val="21"/>
                <w:szCs w:val="22"/>
                <w:lang w:val="en-US" w:eastAsia="zh-CN" w:bidi="ar-SA"/>
              </w:rPr>
              <w:t>作业的视频，展示其高效、精准的工作场景，引发学生兴趣，提出问题，引导学生思考</w:t>
            </w:r>
            <w:r>
              <w:rPr>
                <w:rFonts w:hint="eastAsia" w:ascii="黑体" w:hAnsi="黑体" w:eastAsia="黑体" w:cs="黑体"/>
                <w:b w:val="0"/>
                <w:bCs/>
                <w:kern w:val="2"/>
                <w:sz w:val="21"/>
                <w:szCs w:val="22"/>
                <w:lang w:val="en-US" w:eastAsia="zh-CN" w:bidi="ar-SA"/>
              </w:rPr>
              <w:t>机器人轮毂数控加工</w:t>
            </w:r>
            <w:r>
              <w:rPr>
                <w:rFonts w:hint="default" w:ascii="黑体" w:hAnsi="黑体" w:eastAsia="黑体" w:cs="黑体"/>
                <w:b w:val="0"/>
                <w:bCs/>
                <w:kern w:val="2"/>
                <w:sz w:val="21"/>
                <w:szCs w:val="22"/>
                <w:lang w:val="en-US" w:eastAsia="zh-CN" w:bidi="ar-SA"/>
              </w:rPr>
              <w:t>作业的实现原理和关键技术。</w:t>
            </w:r>
          </w:p>
          <w:p w14:paraId="01DD6454">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知识讲解：结合 PPT、动画、视频等多种教学手段，系统讲解工业机器人</w:t>
            </w:r>
            <w:r>
              <w:rPr>
                <w:rFonts w:hint="eastAsia" w:ascii="黑体" w:hAnsi="黑体" w:eastAsia="黑体" w:cs="黑体"/>
                <w:b w:val="0"/>
                <w:bCs/>
                <w:kern w:val="2"/>
                <w:sz w:val="21"/>
                <w:szCs w:val="22"/>
                <w:lang w:val="en-US" w:eastAsia="zh-CN" w:bidi="ar-SA"/>
              </w:rPr>
              <w:t>轮毂数控加工</w:t>
            </w:r>
            <w:r>
              <w:rPr>
                <w:rFonts w:hint="default" w:ascii="黑体" w:hAnsi="黑体" w:eastAsia="黑体" w:cs="黑体"/>
                <w:b w:val="0"/>
                <w:bCs/>
                <w:kern w:val="2"/>
                <w:sz w:val="21"/>
                <w:szCs w:val="22"/>
                <w:lang w:val="en-US" w:eastAsia="zh-CN" w:bidi="ar-SA"/>
              </w:rPr>
              <w:t>作业的基础理论、技术方法和编程知识。讲解过程中注重理论与实际案例相结合，帮助学生理解抽象概念。</w:t>
            </w:r>
          </w:p>
          <w:p w14:paraId="3CDBB62C">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案例分析：选取典型的</w:t>
            </w:r>
            <w:r>
              <w:rPr>
                <w:rFonts w:hint="eastAsia" w:ascii="黑体" w:hAnsi="黑体" w:eastAsia="黑体" w:cs="黑体"/>
                <w:b w:val="0"/>
                <w:bCs/>
                <w:kern w:val="2"/>
                <w:sz w:val="21"/>
                <w:szCs w:val="22"/>
                <w:lang w:val="en-US" w:eastAsia="zh-CN" w:bidi="ar-SA"/>
              </w:rPr>
              <w:t>轮毂数控加工</w:t>
            </w:r>
            <w:r>
              <w:rPr>
                <w:rFonts w:hint="default" w:ascii="黑体" w:hAnsi="黑体" w:eastAsia="黑体" w:cs="黑体"/>
                <w:b w:val="0"/>
                <w:bCs/>
                <w:kern w:val="2"/>
                <w:sz w:val="21"/>
                <w:szCs w:val="22"/>
                <w:lang w:val="en-US" w:eastAsia="zh-CN" w:bidi="ar-SA"/>
              </w:rPr>
              <w:t>案例进行深入分析，引导学生从案例中学习解决实际问题的思路和方法，培养学生的工程思维能力。</w:t>
            </w:r>
          </w:p>
          <w:p w14:paraId="5FDE8010">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实践操作：学生在实验室进行实验项目操作，按照从基础实验到综合实验再到拓展实验的顺序，逐步提升实践能力。教师在实践过程中巡回指导，及时解决学生遇到的问题。</w:t>
            </w:r>
          </w:p>
          <w:p w14:paraId="3E19F7C2">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总结评价：学生对实验结果进行总结汇报，分享学习收获和遇到的问题及解决方法。教师对学生的学习成果进行评价，总结课程重点知识和技能，强调注意事项，为后续学习和实践提供指导。</w:t>
            </w:r>
          </w:p>
          <w:p w14:paraId="2E3746A8">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 教学方法</w:t>
            </w:r>
          </w:p>
          <w:p w14:paraId="2F92AD2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（1）讲授法：讲解理论知识，确保学生掌握基本概念和原理。</w:t>
            </w:r>
          </w:p>
          <w:p w14:paraId="74277DCE">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（2）案例教学法：通过实际案例，加深学生对知识的理解和应用。</w:t>
            </w:r>
          </w:p>
          <w:p w14:paraId="14E8ACF7">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（3）小组合作学习法：培养学生团队协作和沟通能力。</w:t>
            </w:r>
          </w:p>
          <w:p w14:paraId="54E44ABB">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（4）项目驱动法：以实际项目为载体，提升学生综合实践能力。</w:t>
            </w:r>
          </w:p>
          <w:p w14:paraId="4D4D068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四、学习评价</w:t>
            </w:r>
          </w:p>
          <w:p w14:paraId="412FE1EF">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1.评价方式</w:t>
            </w:r>
          </w:p>
          <w:p w14:paraId="4F54FC53">
            <w:pPr>
              <w:pStyle w:val="2"/>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采用学生自评、小组互评、教师评价相结合的多元评价方式。</w:t>
            </w:r>
          </w:p>
          <w:p w14:paraId="2D12D23C">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评价表</w:t>
            </w:r>
          </w:p>
          <w:p w14:paraId="4211A6DC">
            <w:pPr>
              <w:keepNext w:val="0"/>
              <w:keepLines w:val="0"/>
              <w:widowControl/>
              <w:suppressLineNumbers w:val="0"/>
              <w:ind w:firstLine="420" w:firstLineChars="200"/>
              <w:jc w:val="left"/>
              <w:rPr>
                <w:rFonts w:hint="default" w:ascii="黑体" w:hAnsi="黑体" w:eastAsia="黑体" w:cs="黑体"/>
                <w:b w:val="0"/>
                <w:bCs/>
                <w:kern w:val="2"/>
                <w:sz w:val="21"/>
                <w:szCs w:val="22"/>
                <w:lang w:val="en-US" w:eastAsia="zh-CN" w:bidi="ar-SA"/>
              </w:rPr>
            </w:pPr>
            <w:r>
              <w:drawing>
                <wp:anchor distT="0" distB="0" distL="114300" distR="114300" simplePos="0" relativeHeight="251659264" behindDoc="0" locked="0" layoutInCell="1" allowOverlap="1">
                  <wp:simplePos x="0" y="0"/>
                  <wp:positionH relativeFrom="column">
                    <wp:posOffset>488315</wp:posOffset>
                  </wp:positionH>
                  <wp:positionV relativeFrom="paragraph">
                    <wp:posOffset>198120</wp:posOffset>
                  </wp:positionV>
                  <wp:extent cx="5180965" cy="2011045"/>
                  <wp:effectExtent l="0" t="0" r="635" b="6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180965" cy="2011045"/>
                          </a:xfrm>
                          <a:prstGeom prst="rect">
                            <a:avLst/>
                          </a:prstGeom>
                          <a:noFill/>
                          <a:ln>
                            <a:noFill/>
                          </a:ln>
                        </pic:spPr>
                      </pic:pic>
                    </a:graphicData>
                  </a:graphic>
                </wp:anchor>
              </w:drawing>
            </w:r>
          </w:p>
          <w:p w14:paraId="79AF1BD8">
            <w:pPr>
              <w:keepNext w:val="0"/>
              <w:keepLines w:val="0"/>
              <w:widowControl/>
              <w:suppressLineNumbers w:val="0"/>
              <w:ind w:firstLine="420" w:firstLineChars="200"/>
              <w:jc w:val="left"/>
            </w:pPr>
          </w:p>
          <w:p w14:paraId="61DCB940">
            <w:pPr>
              <w:keepNext w:val="0"/>
              <w:keepLines w:val="0"/>
              <w:widowControl/>
              <w:suppressLineNumbers w:val="0"/>
              <w:ind w:firstLine="420" w:firstLineChars="200"/>
              <w:jc w:val="left"/>
            </w:pPr>
          </w:p>
          <w:p w14:paraId="6594D5FA">
            <w:pPr>
              <w:keepNext w:val="0"/>
              <w:keepLines w:val="0"/>
              <w:widowControl/>
              <w:suppressLineNumbers w:val="0"/>
              <w:ind w:firstLine="420" w:firstLineChars="200"/>
              <w:jc w:val="left"/>
            </w:pPr>
          </w:p>
          <w:p w14:paraId="2622A0C8">
            <w:pPr>
              <w:keepNext w:val="0"/>
              <w:keepLines w:val="0"/>
              <w:widowControl/>
              <w:suppressLineNumbers w:val="0"/>
              <w:ind w:firstLine="420" w:firstLineChars="200"/>
              <w:jc w:val="left"/>
            </w:pPr>
          </w:p>
          <w:p w14:paraId="6821B490">
            <w:pPr>
              <w:keepNext w:val="0"/>
              <w:keepLines w:val="0"/>
              <w:widowControl/>
              <w:suppressLineNumbers w:val="0"/>
              <w:ind w:firstLine="420" w:firstLineChars="200"/>
              <w:jc w:val="left"/>
            </w:pPr>
          </w:p>
          <w:p w14:paraId="4646EDF5">
            <w:pPr>
              <w:keepNext w:val="0"/>
              <w:keepLines w:val="0"/>
              <w:widowControl/>
              <w:suppressLineNumbers w:val="0"/>
              <w:ind w:firstLine="420" w:firstLineChars="200"/>
              <w:jc w:val="left"/>
            </w:pPr>
          </w:p>
          <w:p w14:paraId="414910CB">
            <w:pPr>
              <w:keepNext w:val="0"/>
              <w:keepLines w:val="0"/>
              <w:widowControl/>
              <w:suppressLineNumbers w:val="0"/>
              <w:ind w:firstLine="420" w:firstLineChars="200"/>
              <w:jc w:val="left"/>
            </w:pPr>
          </w:p>
          <w:p w14:paraId="3F82D429">
            <w:pPr>
              <w:keepNext w:val="0"/>
              <w:keepLines w:val="0"/>
              <w:widowControl/>
              <w:suppressLineNumbers w:val="0"/>
              <w:ind w:firstLine="420" w:firstLineChars="200"/>
              <w:jc w:val="left"/>
            </w:pPr>
          </w:p>
          <w:p w14:paraId="4C410CC9">
            <w:pPr>
              <w:keepNext w:val="0"/>
              <w:keepLines w:val="0"/>
              <w:widowControl/>
              <w:suppressLineNumbers w:val="0"/>
              <w:ind w:firstLine="420" w:firstLineChars="200"/>
              <w:jc w:val="left"/>
            </w:pPr>
          </w:p>
          <w:p w14:paraId="514258B7">
            <w:pPr>
              <w:keepNext w:val="0"/>
              <w:keepLines w:val="0"/>
              <w:widowControl/>
              <w:suppressLineNumbers w:val="0"/>
              <w:ind w:firstLine="420" w:firstLineChars="200"/>
              <w:jc w:val="left"/>
            </w:pPr>
          </w:p>
          <w:p w14:paraId="0EB3745D">
            <w:pPr>
              <w:keepNext w:val="0"/>
              <w:keepLines w:val="0"/>
              <w:widowControl/>
              <w:suppressLineNumbers w:val="0"/>
              <w:jc w:val="center"/>
            </w:pPr>
            <w:r>
              <w:rPr>
                <w:rFonts w:hint="eastAsia"/>
                <w:lang w:val="en-US" w:eastAsia="zh-CN"/>
              </w:rPr>
              <w:t xml:space="preserve">     </w:t>
            </w:r>
            <w:r>
              <w:drawing>
                <wp:inline distT="0" distB="0" distL="114300" distR="114300">
                  <wp:extent cx="5197475" cy="6294120"/>
                  <wp:effectExtent l="0" t="0" r="146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197475" cy="6294120"/>
                          </a:xfrm>
                          <a:prstGeom prst="rect">
                            <a:avLst/>
                          </a:prstGeom>
                          <a:noFill/>
                          <a:ln>
                            <a:noFill/>
                          </a:ln>
                        </pic:spPr>
                      </pic:pic>
                    </a:graphicData>
                  </a:graphic>
                </wp:inline>
              </w:drawing>
            </w:r>
          </w:p>
          <w:p w14:paraId="08308613">
            <w:pPr>
              <w:keepNext w:val="0"/>
              <w:keepLines w:val="0"/>
              <w:widowControl/>
              <w:suppressLineNumbers w:val="0"/>
              <w:jc w:val="center"/>
            </w:pPr>
          </w:p>
          <w:p w14:paraId="67AA718A">
            <w:pPr>
              <w:keepNext w:val="0"/>
              <w:keepLines w:val="0"/>
              <w:widowControl/>
              <w:suppressLineNumbers w:val="0"/>
              <w:jc w:val="center"/>
            </w:pPr>
          </w:p>
          <w:p w14:paraId="14C3EB5F">
            <w:pPr>
              <w:keepNext w:val="0"/>
              <w:keepLines w:val="0"/>
              <w:widowControl/>
              <w:suppressLineNumbers w:val="0"/>
              <w:jc w:val="center"/>
            </w:pPr>
          </w:p>
          <w:p w14:paraId="663D6BFE">
            <w:pPr>
              <w:keepNext w:val="0"/>
              <w:keepLines w:val="0"/>
              <w:widowControl/>
              <w:suppressLineNumbers w:val="0"/>
              <w:jc w:val="center"/>
            </w:pPr>
          </w:p>
          <w:p w14:paraId="4505532E">
            <w:pPr>
              <w:keepNext w:val="0"/>
              <w:keepLines w:val="0"/>
              <w:widowControl/>
              <w:suppressLineNumbers w:val="0"/>
              <w:jc w:val="left"/>
              <w:rPr>
                <w:rFonts w:hint="eastAsia" w:ascii="宋体" w:hAnsi="宋体" w:eastAsia="宋体" w:cs="宋体"/>
                <w:color w:val="231F20"/>
                <w:kern w:val="0"/>
                <w:sz w:val="21"/>
                <w:szCs w:val="21"/>
                <w:lang w:val="en-US" w:eastAsia="zh-CN" w:bidi="ar"/>
              </w:rPr>
            </w:pPr>
          </w:p>
        </w:tc>
      </w:tr>
      <w:tr w14:paraId="05E55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8" w:hRule="atLeast"/>
        </w:trPr>
        <w:tc>
          <w:tcPr>
            <w:tcW w:w="449" w:type="dxa"/>
            <w:vAlign w:val="center"/>
          </w:tcPr>
          <w:p w14:paraId="1A12C0D2">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教学过程</w:t>
            </w:r>
          </w:p>
        </w:tc>
        <w:tc>
          <w:tcPr>
            <w:tcW w:w="9405" w:type="dxa"/>
            <w:gridSpan w:val="3"/>
            <w:vAlign w:val="center"/>
          </w:tcPr>
          <w:p w14:paraId="0394673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一、任务导入（2学时-90分钟）</w:t>
            </w:r>
          </w:p>
          <w:p w14:paraId="0BD0BA4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1.情境引入（15分钟）</w:t>
            </w:r>
          </w:p>
          <w:p w14:paraId="59CCEB3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教师活动：播放一段轮毂数控加工场景的工业生产视频。播放结束后，引导学生观察并思考工业机器人在毂数控加工过程中是如何快速且准确地设计出数控加工路径。</w:t>
            </w:r>
          </w:p>
          <w:p w14:paraId="7E9A5D0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学生活动：认真观看视频，积极思考教师提出的问题，部分学生可主动分享自己在视频中观察到的机器人毂数控加工特点。</w:t>
            </w:r>
          </w:p>
          <w:p w14:paraId="5A21842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2.任务布置（30分钟）</w:t>
            </w:r>
          </w:p>
          <w:p w14:paraId="06252E2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教师活动：展示本次任务的具体要求，设定一个模拟的汽车轮毂数控加工场景。要求学生利用机器人，把轮毂搬运到数控加工单元并进行加工。详细说明任务的关键指标，如抓取准确率需达到 95% 以上，25分钟内完成机器人轮毂数控加工仿真操作等。同时，介绍此任务与实际工业生产中轮毂数控加工紧密联系，让学生明白任务的实际意义。</w:t>
            </w:r>
          </w:p>
          <w:p w14:paraId="456BA329">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仔细聆听任务内容，记录关键信息，如任务场景、分拣对象特征、任务指标等。对任务有初步认知后，思考完成任务可能面临的挑战，如何准确的抓取轮毂、怎样控制机器人快速且精准地把轮毂放到数控加工单元制定位置，机器人</w:t>
            </w:r>
            <w:bookmarkStart w:id="0" w:name="_GoBack"/>
            <w:bookmarkEnd w:id="0"/>
            <w:r>
              <w:rPr>
                <w:rFonts w:hint="eastAsia" w:ascii="黑体" w:hAnsi="黑体" w:eastAsia="黑体" w:cs="黑体"/>
                <w:b w:val="0"/>
                <w:bCs/>
                <w:kern w:val="2"/>
                <w:sz w:val="21"/>
                <w:szCs w:val="22"/>
                <w:lang w:val="en-US" w:eastAsia="zh-CN" w:bidi="ar-SA"/>
              </w:rPr>
              <w:t>如何准确的设计出加工轨迹。</w:t>
            </w:r>
          </w:p>
          <w:p w14:paraId="595AEA8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3.小组讨论（35分钟）</w:t>
            </w:r>
          </w:p>
          <w:p w14:paraId="623658FB">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教师活动：将学生分成若干小组，每组 4 - 5 人。鼓励学生围绕任务展开讨论，提示从机器人轮毂数控加工的原理、加工流程规划、技术和工具等方面进行思考。在各小组讨论过程中，教师巡回观察，适时参与小组讨论，给予引导和启发，确保讨论方向的正确性。</w:t>
            </w:r>
          </w:p>
          <w:p w14:paraId="0AB698FD">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学生活动：小组内成员积极交流想法，共同探讨完成任务的初步方案。例如，讨论轮毂数控加工路径设计。每个小组安排一名记录员，记录讨论过程中的重要观点和遇到的问题。</w:t>
            </w:r>
          </w:p>
          <w:p w14:paraId="6E019D92">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4.总结引导（10分钟）</w:t>
            </w:r>
          </w:p>
          <w:p w14:paraId="7C184E6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召集各小组代表发言，分享小组讨论的成果和遇到的疑问。对各小组的讨论情况进行总结，梳理出学生们普遍关注的问题，如抓夹的选择、机器人运动指令等。强调这些问题将在后续的新知解析环节中逐步得到解决，激发学生对新知识的渴望。</w:t>
            </w:r>
          </w:p>
          <w:p w14:paraId="60A06B7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学生活动：认真倾听各小组发言和教师总结，对比自己小组与其他小组的思路，进一步明确自己的疑问和学习重点，为接下来的学习做好准备。</w:t>
            </w:r>
          </w:p>
          <w:p w14:paraId="4B87365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二、新知解析（2学时-90分钟）</w:t>
            </w:r>
          </w:p>
          <w:p w14:paraId="527FAE51">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 智能化数控加工技术的应用与发展</w:t>
            </w:r>
            <w:r>
              <w:rPr>
                <w:rFonts w:hint="eastAsia" w:ascii="黑体" w:hAnsi="黑体" w:eastAsia="黑体" w:cs="黑体"/>
                <w:b w:val="0"/>
                <w:bCs/>
                <w:kern w:val="2"/>
                <w:sz w:val="21"/>
                <w:szCs w:val="22"/>
                <w:lang w:val="en-US" w:eastAsia="zh-CN" w:bidi="ar-SA"/>
              </w:rPr>
              <w:t>（10分钟）</w:t>
            </w:r>
          </w:p>
          <w:p w14:paraId="1FF8D8A0">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智能产线中的数控加工技术的演变经历了初步探索阶段、数字化与网络化阶段及智能化初现阶段和高度智能化阶段。早期，人们开始利用计算机技术对机械制造过程进行数字化控制，从而产生了数控技术。这一阶段的数控技术主要依赖预设的程序来控制机床，智能化程度较低。随着计算机技术和网络技术的进步，数控技术进入数字化和网络化阶段， 数控系统开始具备远程控制和实时监控功能，能够进行更复杂的加工操作。进入 21 世纪，人工智能、机器学习等技术的快速发展，使得数控技术开始向智能化方向发展 ，数控系统  开始具备自主学习和决策能力，能够根据加工需求自动调整参数、预测误差等。近年来， 随着物联网、大数据等技术的融合应用，智能数控技术已经实现了高度智能化 ，数控系统  不仅可以自动完成加工操作，还可以进行故障预测、质量检测等智能化操作。</w:t>
            </w:r>
          </w:p>
          <w:p w14:paraId="5FE40BB6">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常见的国内外数控加工设备品牌如下。</w:t>
            </w:r>
          </w:p>
          <w:p w14:paraId="0BB83C64">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国内品牌：沈阳机床厂、大连机床厂等，这些企业在数控机床领域具有较高的知名度 和市场占有率。</w:t>
            </w:r>
          </w:p>
          <w:p w14:paraId="21ACC2E0">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国外品牌：德国的西门子（Siemens）、日本的发那科（Fanuc）、瑞士的 ABB 等。</w:t>
            </w:r>
          </w:p>
          <w:p w14:paraId="7B16F229">
            <w:pPr>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2.PQArt 数控加工工作站组成</w:t>
            </w:r>
            <w:r>
              <w:rPr>
                <w:rFonts w:hint="eastAsia" w:ascii="黑体" w:hAnsi="黑体" w:eastAsia="黑体" w:cs="黑体"/>
                <w:b w:val="0"/>
                <w:bCs/>
                <w:kern w:val="2"/>
                <w:sz w:val="21"/>
                <w:szCs w:val="22"/>
                <w:lang w:val="en-US" w:eastAsia="zh-CN" w:bidi="ar-SA"/>
              </w:rPr>
              <w:t>（15分钟）</w:t>
            </w:r>
          </w:p>
          <w:p w14:paraId="15DB78D1">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PQArt 中提供的加工单元，可对零件表面指定位置进行铣削加工， 由工作台、数控机床、刀库、数控系统、远程 I/O 模块等组件构成。</w:t>
            </w:r>
          </w:p>
          <w:p w14:paraId="38489BF5">
            <w:pPr>
              <w:jc w:val="center"/>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drawing>
                <wp:inline distT="0" distB="0" distL="114300" distR="114300">
                  <wp:extent cx="4198620" cy="2567940"/>
                  <wp:effectExtent l="0" t="0" r="7620" b="7620"/>
                  <wp:docPr id="15" name="图片 15" descr="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3-1-3"/>
                          <pic:cNvPicPr>
                            <a:picLocks noChangeAspect="1"/>
                          </pic:cNvPicPr>
                        </pic:nvPicPr>
                        <pic:blipFill>
                          <a:blip r:embed="rId6"/>
                          <a:stretch>
                            <a:fillRect/>
                          </a:stretch>
                        </pic:blipFill>
                        <pic:spPr>
                          <a:xfrm>
                            <a:off x="0" y="0"/>
                            <a:ext cx="4198620" cy="2567940"/>
                          </a:xfrm>
                          <a:prstGeom prst="rect">
                            <a:avLst/>
                          </a:prstGeom>
                        </pic:spPr>
                      </pic:pic>
                    </a:graphicData>
                  </a:graphic>
                </wp:inline>
              </w:drawing>
            </w:r>
          </w:p>
          <w:p w14:paraId="332131F1">
            <w:pPr>
              <w:jc w:val="left"/>
              <w:rPr>
                <w:rFonts w:hint="eastAsia" w:ascii="黑体" w:hAnsi="黑体" w:eastAsia="黑体" w:cs="黑体"/>
                <w:b w:val="0"/>
                <w:bCs/>
                <w:kern w:val="2"/>
                <w:sz w:val="21"/>
                <w:szCs w:val="22"/>
                <w:lang w:val="en-US" w:eastAsia="zh-CN" w:bidi="ar-SA"/>
              </w:rPr>
            </w:pPr>
          </w:p>
          <w:p w14:paraId="3DE2F797">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在实际生产过程中，数控加工工作站中的众多设备 、众多控制系统要相互配合才能够 自动化地、智能地完成加工任务，其中工业机器人仅完成给数控加工设备夹具上料和下料的任务，因此工业机器人实际的工作任务较为简单，但需要配合的系统较多，如数控设备 的开关门系统及夹具自动动作、冷却液冲刷动作等均需要与机器人进行通信配合才能够安全地开展加工作业</w:t>
            </w:r>
            <w:r>
              <w:rPr>
                <w:rFonts w:hint="eastAsia" w:ascii="黑体" w:hAnsi="黑体" w:eastAsia="黑体" w:cs="黑体"/>
                <w:b w:val="0"/>
                <w:bCs/>
                <w:kern w:val="2"/>
                <w:sz w:val="21"/>
                <w:szCs w:val="22"/>
                <w:lang w:val="en-US" w:eastAsia="zh-CN" w:bidi="ar-SA"/>
              </w:rPr>
              <w:t>。</w:t>
            </w:r>
          </w:p>
          <w:p w14:paraId="7F1571C2">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机器人安装吸盘工具</w:t>
            </w:r>
            <w:r>
              <w:rPr>
                <w:rFonts w:hint="eastAsia" w:ascii="黑体" w:hAnsi="黑体" w:eastAsia="黑体" w:cs="黑体"/>
                <w:b w:val="0"/>
                <w:bCs/>
                <w:kern w:val="2"/>
                <w:sz w:val="21"/>
                <w:szCs w:val="22"/>
                <w:lang w:val="en-US" w:eastAsia="zh-CN" w:bidi="ar-SA"/>
              </w:rPr>
              <w:t>（15分钟）</w:t>
            </w:r>
          </w:p>
          <w:p w14:paraId="6F5FD2DB">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机器人移至工具单元安装吸盘工具</w:t>
            </w:r>
          </w:p>
          <w:p w14:paraId="3F35BB45">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机器人上料</w:t>
            </w:r>
            <w:r>
              <w:rPr>
                <w:rFonts w:hint="eastAsia" w:ascii="黑体" w:hAnsi="黑体" w:eastAsia="黑体" w:cs="黑体"/>
                <w:b w:val="0"/>
                <w:bCs/>
                <w:kern w:val="2"/>
                <w:sz w:val="21"/>
                <w:szCs w:val="22"/>
                <w:lang w:val="en-US" w:eastAsia="zh-CN" w:bidi="ar-SA"/>
              </w:rPr>
              <w:t>（10分钟）</w:t>
            </w:r>
          </w:p>
          <w:p w14:paraId="31712439">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机器人从仓储抓取轮毂</w:t>
            </w:r>
            <w:r>
              <w:rPr>
                <w:rFonts w:hint="eastAsia" w:ascii="黑体" w:hAnsi="黑体" w:eastAsia="黑体" w:cs="黑体"/>
                <w:b w:val="0"/>
                <w:bCs/>
                <w:kern w:val="2"/>
                <w:sz w:val="21"/>
                <w:szCs w:val="22"/>
                <w:lang w:val="en-US" w:eastAsia="zh-CN" w:bidi="ar-SA"/>
              </w:rPr>
              <w:t>。</w:t>
            </w:r>
          </w:p>
          <w:p w14:paraId="04842780">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加工单元进行加工任务</w:t>
            </w:r>
            <w:r>
              <w:rPr>
                <w:rFonts w:hint="eastAsia" w:ascii="黑体" w:hAnsi="黑体" w:eastAsia="黑体" w:cs="黑体"/>
                <w:b w:val="0"/>
                <w:bCs/>
                <w:kern w:val="2"/>
                <w:sz w:val="21"/>
                <w:szCs w:val="22"/>
                <w:lang w:val="en-US" w:eastAsia="zh-CN" w:bidi="ar-SA"/>
              </w:rPr>
              <w:t>（15分钟）</w:t>
            </w:r>
          </w:p>
          <w:p w14:paraId="07ADFF3D">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机器人将轮毂放置于加工单元数控机床上进行加工</w:t>
            </w:r>
            <w:r>
              <w:rPr>
                <w:rFonts w:hint="eastAsia" w:ascii="黑体" w:hAnsi="黑体" w:eastAsia="黑体" w:cs="黑体"/>
                <w:b w:val="0"/>
                <w:bCs/>
                <w:kern w:val="2"/>
                <w:sz w:val="21"/>
                <w:szCs w:val="22"/>
                <w:lang w:val="en-US" w:eastAsia="zh-CN" w:bidi="ar-SA"/>
              </w:rPr>
              <w:t>。</w:t>
            </w:r>
          </w:p>
          <w:p w14:paraId="7C7F59AB">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6.</w:t>
            </w:r>
            <w:r>
              <w:rPr>
                <w:rFonts w:hint="default" w:ascii="黑体" w:hAnsi="黑体" w:eastAsia="黑体" w:cs="黑体"/>
                <w:b w:val="0"/>
                <w:bCs/>
                <w:kern w:val="2"/>
                <w:sz w:val="21"/>
                <w:szCs w:val="22"/>
                <w:lang w:val="en-US" w:eastAsia="zh-CN" w:bidi="ar-SA"/>
              </w:rPr>
              <w:t>机器人下料</w:t>
            </w:r>
            <w:r>
              <w:rPr>
                <w:rFonts w:hint="eastAsia" w:ascii="黑体" w:hAnsi="黑体" w:eastAsia="黑体" w:cs="黑体"/>
                <w:b w:val="0"/>
                <w:bCs/>
                <w:kern w:val="2"/>
                <w:sz w:val="21"/>
                <w:szCs w:val="22"/>
                <w:lang w:val="en-US" w:eastAsia="zh-CN" w:bidi="ar-SA"/>
              </w:rPr>
              <w:t>（15分钟）</w:t>
            </w:r>
          </w:p>
          <w:p w14:paraId="58BECE11">
            <w:pPr>
              <w:ind w:firstLine="420" w:firstLineChars="200"/>
              <w:jc w:val="left"/>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机器人从加工单元抓取 2 号轮毂放回仓储单元再返回机械原点</w:t>
            </w:r>
            <w:r>
              <w:rPr>
                <w:rFonts w:hint="eastAsia" w:ascii="黑体" w:hAnsi="黑体" w:eastAsia="黑体" w:cs="黑体"/>
                <w:b w:val="0"/>
                <w:bCs/>
                <w:kern w:val="2"/>
                <w:sz w:val="21"/>
                <w:szCs w:val="22"/>
                <w:lang w:val="en-US" w:eastAsia="zh-CN" w:bidi="ar-SA"/>
              </w:rPr>
              <w:t>。</w:t>
            </w:r>
          </w:p>
          <w:p w14:paraId="51793DFA">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7.</w:t>
            </w:r>
            <w:r>
              <w:rPr>
                <w:rFonts w:hint="default" w:ascii="黑体" w:hAnsi="黑体" w:eastAsia="黑体" w:cs="黑体"/>
                <w:b w:val="0"/>
                <w:bCs/>
                <w:kern w:val="2"/>
                <w:sz w:val="21"/>
                <w:szCs w:val="22"/>
                <w:lang w:val="en-US" w:eastAsia="zh-CN" w:bidi="ar-SA"/>
              </w:rPr>
              <w:t>工作站仿真调试</w:t>
            </w:r>
            <w:r>
              <w:rPr>
                <w:rFonts w:hint="eastAsia" w:ascii="黑体" w:hAnsi="黑体" w:eastAsia="黑体" w:cs="黑体"/>
                <w:b w:val="0"/>
                <w:bCs/>
                <w:kern w:val="2"/>
                <w:sz w:val="21"/>
                <w:szCs w:val="22"/>
                <w:lang w:val="en-US" w:eastAsia="zh-CN" w:bidi="ar-SA"/>
              </w:rPr>
              <w:t>（10分钟）</w:t>
            </w:r>
          </w:p>
          <w:p w14:paraId="7CC5D068">
            <w:pPr>
              <w:ind w:firstLine="420" w:firstLineChars="200"/>
              <w:jc w:val="left"/>
              <w:rPr>
                <w:rFonts w:hint="default" w:ascii="宋体" w:hAnsi="宋体" w:eastAsia="宋体" w:cs="宋体"/>
                <w:color w:val="231F20"/>
                <w:kern w:val="0"/>
                <w:sz w:val="21"/>
                <w:szCs w:val="21"/>
                <w:lang w:val="en-US" w:eastAsia="zh-CN" w:bidi="ar"/>
              </w:rPr>
            </w:pPr>
            <w:r>
              <w:rPr>
                <w:rFonts w:hint="default" w:ascii="黑体" w:hAnsi="黑体" w:eastAsia="黑体" w:cs="黑体"/>
                <w:b w:val="0"/>
                <w:bCs/>
                <w:kern w:val="2"/>
                <w:sz w:val="21"/>
                <w:szCs w:val="22"/>
                <w:lang w:val="en-US" w:eastAsia="zh-CN" w:bidi="ar-SA"/>
              </w:rPr>
              <w:t>在软件菜单栏“基础编程”里，单击“仿真”按钮，在“仿真管理面板”中单击“开 始仿真”按钮，对以上编辑内容进行仿真校验并根据具体实施情况调整位置 、姿态或数据 等直至任务顺利实施</w:t>
            </w:r>
            <w:r>
              <w:rPr>
                <w:rFonts w:hint="eastAsia" w:ascii="黑体" w:hAnsi="黑体" w:eastAsia="黑体" w:cs="黑体"/>
                <w:b w:val="0"/>
                <w:bCs/>
                <w:kern w:val="2"/>
                <w:sz w:val="21"/>
                <w:szCs w:val="22"/>
                <w:lang w:val="en-US" w:eastAsia="zh-CN" w:bidi="ar-SA"/>
              </w:rPr>
              <w:t>。</w:t>
            </w:r>
          </w:p>
        </w:tc>
      </w:tr>
      <w:tr w14:paraId="0686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0BACBCEE">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课后作业</w:t>
            </w:r>
          </w:p>
          <w:p w14:paraId="169119B6">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与评价</w:t>
            </w:r>
          </w:p>
        </w:tc>
        <w:tc>
          <w:tcPr>
            <w:tcW w:w="9405" w:type="dxa"/>
            <w:gridSpan w:val="3"/>
            <w:vAlign w:val="center"/>
          </w:tcPr>
          <w:p w14:paraId="799CF9FC">
            <w:pPr>
              <w:jc w:val="left"/>
              <w:rPr>
                <w:rFonts w:hint="eastAsia" w:ascii="黑体" w:hAnsi="黑体" w:eastAsia="黑体" w:cs="黑体"/>
                <w:b w:val="0"/>
                <w:bCs/>
                <w:kern w:val="2"/>
                <w:sz w:val="21"/>
                <w:szCs w:val="22"/>
                <w:lang w:val="en-US" w:eastAsia="zh-CN" w:bidi="ar-SA"/>
              </w:rPr>
            </w:pPr>
            <w:r>
              <w:rPr>
                <w:rFonts w:hint="eastAsia" w:ascii="宋体" w:hAnsi="宋体" w:eastAsia="宋体" w:cs="宋体"/>
                <w:b/>
                <w:bCs/>
                <w:color w:val="231F20"/>
                <w:kern w:val="0"/>
                <w:sz w:val="21"/>
                <w:szCs w:val="21"/>
                <w:lang w:val="en-US" w:eastAsia="zh-CN" w:bidi="ar"/>
              </w:rPr>
              <w:t>课后</w:t>
            </w:r>
            <w:r>
              <w:rPr>
                <w:rFonts w:hint="eastAsia" w:ascii="黑体" w:hAnsi="黑体" w:eastAsia="黑体" w:cs="黑体"/>
                <w:b w:val="0"/>
                <w:bCs/>
                <w:kern w:val="2"/>
                <w:sz w:val="21"/>
                <w:szCs w:val="22"/>
                <w:lang w:val="en-US" w:eastAsia="zh-CN" w:bidi="ar-SA"/>
              </w:rPr>
              <w:t>作业：</w:t>
            </w:r>
          </w:p>
          <w:p w14:paraId="00AB7B97">
            <w:pPr>
              <w:ind w:firstLine="420" w:firstLineChars="200"/>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用PQArt软件完成</w:t>
            </w:r>
            <w:r>
              <w:rPr>
                <w:rFonts w:hint="default" w:ascii="黑体" w:hAnsi="黑体" w:eastAsia="黑体" w:cs="黑体"/>
                <w:b w:val="0"/>
                <w:bCs/>
                <w:kern w:val="2"/>
                <w:sz w:val="21"/>
                <w:szCs w:val="22"/>
                <w:lang w:val="en-US" w:eastAsia="zh-CN" w:bidi="ar-SA"/>
              </w:rPr>
              <w:t>机器人从仓储单元抓取 5 号轮毂放置于加工单元数控机床，进行双面加工，再放回仓储 5 号仓位。</w:t>
            </w:r>
          </w:p>
          <w:p w14:paraId="5BB34AC9">
            <w:pPr>
              <w:jc w:val="left"/>
              <w:rPr>
                <w:color w:val="000000" w:themeColor="text1"/>
                <w14:textFill>
                  <w14:solidFill>
                    <w14:schemeClr w14:val="tx1"/>
                  </w14:solidFill>
                </w14:textFill>
              </w:rPr>
            </w:pPr>
            <w:r>
              <w:rPr>
                <w:rFonts w:hint="eastAsia" w:ascii="黑体" w:hAnsi="黑体" w:eastAsia="黑体" w:cs="黑体"/>
                <w:b w:val="0"/>
                <w:bCs/>
                <w:kern w:val="2"/>
                <w:sz w:val="21"/>
                <w:szCs w:val="22"/>
                <w:lang w:val="en-US" w:eastAsia="zh-CN" w:bidi="ar-SA"/>
              </w:rPr>
              <w:t>课后评价：</w:t>
            </w:r>
          </w:p>
        </w:tc>
      </w:tr>
      <w:tr w14:paraId="656E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49" w:type="dxa"/>
            <w:vAlign w:val="center"/>
          </w:tcPr>
          <w:p w14:paraId="2723AD37">
            <w:pPr>
              <w:jc w:val="left"/>
              <w:rPr>
                <w:rFonts w:hint="eastAsia" w:ascii="黑体" w:hAnsi="黑体" w:eastAsia="黑体" w:cs="黑体"/>
                <w:b w:val="0"/>
                <w:bCs/>
                <w:color w:val="000000" w:themeColor="text1"/>
                <w:lang w:val="en-US" w:eastAsia="zh-CN"/>
                <w14:textFill>
                  <w14:solidFill>
                    <w14:schemeClr w14:val="tx1"/>
                  </w14:solidFill>
                </w14:textFill>
              </w:rPr>
            </w:pPr>
            <w:r>
              <w:rPr>
                <w:rFonts w:hint="eastAsia" w:ascii="黑体" w:hAnsi="黑体" w:eastAsia="黑体" w:cs="黑体"/>
                <w:b w:val="0"/>
                <w:bCs/>
                <w:color w:val="000000" w:themeColor="text1"/>
                <w:lang w:val="en-US" w:eastAsia="zh-CN"/>
                <w14:textFill>
                  <w14:solidFill>
                    <w14:schemeClr w14:val="tx1"/>
                  </w14:solidFill>
                </w14:textFill>
              </w:rPr>
              <w:t>总结与反思</w:t>
            </w:r>
          </w:p>
        </w:tc>
        <w:tc>
          <w:tcPr>
            <w:tcW w:w="9405" w:type="dxa"/>
            <w:gridSpan w:val="3"/>
            <w:vAlign w:val="center"/>
          </w:tcPr>
          <w:p w14:paraId="581B04FE">
            <w:pPr>
              <w:jc w:val="left"/>
              <w:rPr>
                <w:color w:val="000000" w:themeColor="text1"/>
                <w14:textFill>
                  <w14:solidFill>
                    <w14:schemeClr w14:val="tx1"/>
                  </w14:solidFill>
                </w14:textFill>
              </w:rPr>
            </w:pPr>
          </w:p>
        </w:tc>
      </w:tr>
    </w:tbl>
    <w:p w14:paraId="30353F60"/>
    <w:p w14:paraId="6AD1009A"/>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EF08E"/>
    <w:multiLevelType w:val="singleLevel"/>
    <w:tmpl w:val="D85EF08E"/>
    <w:lvl w:ilvl="0" w:tentative="0">
      <w:start w:val="2"/>
      <w:numFmt w:val="decimal"/>
      <w:lvlText w:val="(%1)"/>
      <w:lvlJc w:val="left"/>
      <w:pPr>
        <w:tabs>
          <w:tab w:val="left" w:pos="312"/>
        </w:tabs>
      </w:pPr>
    </w:lvl>
  </w:abstractNum>
  <w:abstractNum w:abstractNumId="1">
    <w:nsid w:val="6449831A"/>
    <w:multiLevelType w:val="singleLevel"/>
    <w:tmpl w:val="6449831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B240E"/>
    <w:rsid w:val="077A1F3E"/>
    <w:rsid w:val="0A7E1D45"/>
    <w:rsid w:val="155E69FB"/>
    <w:rsid w:val="18147845"/>
    <w:rsid w:val="19CD414F"/>
    <w:rsid w:val="1A4563DB"/>
    <w:rsid w:val="1AA71319"/>
    <w:rsid w:val="23CD5C07"/>
    <w:rsid w:val="24EE1B49"/>
    <w:rsid w:val="26C014FF"/>
    <w:rsid w:val="2A2A78F9"/>
    <w:rsid w:val="2A7E571E"/>
    <w:rsid w:val="2CAD3FC3"/>
    <w:rsid w:val="30ED7159"/>
    <w:rsid w:val="317F2EAA"/>
    <w:rsid w:val="33686F6B"/>
    <w:rsid w:val="34DA5C46"/>
    <w:rsid w:val="37602A4C"/>
    <w:rsid w:val="451E0CB6"/>
    <w:rsid w:val="45EA4017"/>
    <w:rsid w:val="4F4321A9"/>
    <w:rsid w:val="561A5A4B"/>
    <w:rsid w:val="5B2F01EA"/>
    <w:rsid w:val="5B57329D"/>
    <w:rsid w:val="5F7E1062"/>
    <w:rsid w:val="6B3779D2"/>
    <w:rsid w:val="711A294B"/>
    <w:rsid w:val="76DB2B7D"/>
    <w:rsid w:val="77BA09E4"/>
    <w:rsid w:val="7BBE1A6A"/>
    <w:rsid w:val="7C930A71"/>
    <w:rsid w:val="7D0821F2"/>
    <w:rsid w:val="7DE40569"/>
    <w:rsid w:val="7FFE6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4579</Words>
  <Characters>4711</Characters>
  <Lines>0</Lines>
  <Paragraphs>0</Paragraphs>
  <TotalTime>0</TotalTime>
  <ScaleCrop>false</ScaleCrop>
  <LinksUpToDate>false</LinksUpToDate>
  <CharactersWithSpaces>4876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2025-02-06T08:37:00Z</dcterms:created>
  <dc:creator>17188</dc:creator>
  <cp:lastModifiedBy>锡林高娃</cp:lastModifiedBy>
  <dcterms:modified xsi:type="dcterms:W3CDTF">2025-02-15T15:43:08Z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eyJoZGlkIjoiMzFhZWEyMmFhNGM5MmFjNmE0ZjI3NzRhMTAxYTg3MTciLCJ1c2VySWQiOiIzODA4Mjc3NTYifQ==</vt:lpwstr>
  </property>
  <property fmtid="{D5CDD505-2E9C-101B-9397-08002B2CF9AE}" pid="4" name="ICV">
    <vt:lpwstr>9D4C609398164EE8920AFB4B5FA0F24E_12</vt:lpwstr>
  </property>
</Properties>
</file>