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t>《</w:t>
      </w:r>
      <w:r>
        <w:rPr>
          <w:rFonts w:hint="eastAsia"/>
          <w:lang w:val="en-US" w:eastAsia="zh-CN"/>
        </w:rPr>
        <w:t>建设工程法规</w:t>
      </w:r>
      <w:r>
        <w:t>》</w:t>
      </w:r>
      <w:r>
        <w:br w:type="textWrapping"/>
      </w:r>
      <w:r>
        <w:t>课程教学大纲（2020版）</w:t>
      </w:r>
    </w:p>
    <w:p>
      <w:pPr>
        <w:spacing w:after="0"/>
        <w:ind w:right="233" w:firstLine="450"/>
        <w:jc w:val="center"/>
        <w:rPr>
          <w:rFonts w:hint="eastAsia" w:ascii="黑体" w:hAnsi="黑体" w:eastAsia="黑体" w:cs="黑体"/>
          <w:sz w:val="36"/>
        </w:rPr>
      </w:pPr>
    </w:p>
    <w:p>
      <w:pPr>
        <w:pStyle w:val="10"/>
        <w:spacing w:before="120" w:after="120"/>
      </w:pPr>
      <w:r>
        <w:t xml:space="preserve">一、课程基本信息 </w:t>
      </w:r>
    </w:p>
    <w:tbl>
      <w:tblPr>
        <w:tblStyle w:val="8"/>
        <w:tblW w:w="9633" w:type="dxa"/>
        <w:jc w:val="center"/>
        <w:tblLayout w:type="autofit"/>
        <w:tblCellMar>
          <w:top w:w="58" w:type="dxa"/>
          <w:left w:w="98" w:type="dxa"/>
          <w:bottom w:w="0" w:type="dxa"/>
          <w:right w:w="3" w:type="dxa"/>
        </w:tblCellMar>
      </w:tblPr>
      <w:tblGrid>
        <w:gridCol w:w="1456"/>
        <w:gridCol w:w="959"/>
        <w:gridCol w:w="810"/>
        <w:gridCol w:w="1156"/>
        <w:gridCol w:w="847"/>
        <w:gridCol w:w="1476"/>
        <w:gridCol w:w="1452"/>
        <w:gridCol w:w="1477"/>
      </w:tblGrid>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课程名称</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建设工程法规</w:t>
            </w:r>
          </w:p>
        </w:tc>
      </w:tr>
      <w:tr>
        <w:tblPrEx>
          <w:tblCellMar>
            <w:top w:w="58" w:type="dxa"/>
            <w:left w:w="98" w:type="dxa"/>
            <w:bottom w:w="0" w:type="dxa"/>
            <w:right w:w="3" w:type="dxa"/>
          </w:tblCellMar>
        </w:tblPrEx>
        <w:trPr>
          <w:trHeight w:val="465"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课程代码</w:t>
            </w:r>
          </w:p>
        </w:tc>
        <w:tc>
          <w:tcPr>
            <w:tcW w:w="3772"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仿宋_GB2312" w:cs="宋体"/>
                <w:color w:val="000000"/>
                <w:kern w:val="2"/>
                <w:sz w:val="21"/>
                <w:szCs w:val="22"/>
                <w:lang w:val="en-US" w:eastAsia="zh-CN" w:bidi="ar-SA"/>
              </w:rPr>
              <w:t>GGS6320010201</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课程性质</w:t>
            </w:r>
          </w:p>
        </w:tc>
        <w:tc>
          <w:tcPr>
            <w:tcW w:w="2929" w:type="dxa"/>
            <w:gridSpan w:val="2"/>
            <w:tcBorders>
              <w:top w:val="single" w:color="000000" w:sz="4" w:space="0"/>
              <w:left w:val="single" w:color="000000" w:sz="4" w:space="0"/>
              <w:bottom w:val="single" w:color="000000" w:sz="4" w:space="0"/>
              <w:right w:val="single" w:color="000000" w:sz="4" w:space="0"/>
            </w:tcBorders>
            <w:vAlign w:val="center"/>
          </w:tcPr>
          <w:p>
            <w:pPr>
              <w:pStyle w:val="12"/>
            </w:pPr>
            <w:r>
              <w:t>必修</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开课院部</w:t>
            </w:r>
          </w:p>
        </w:tc>
        <w:tc>
          <w:tcPr>
            <w:tcW w:w="3772" w:type="dxa"/>
            <w:gridSpan w:val="4"/>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建筑工程学院</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课程负责人</w:t>
            </w:r>
          </w:p>
        </w:tc>
        <w:tc>
          <w:tcPr>
            <w:tcW w:w="2929" w:type="dxa"/>
            <w:gridSpan w:val="2"/>
            <w:tcBorders>
              <w:top w:val="single" w:color="000000" w:sz="4" w:space="0"/>
              <w:left w:val="single" w:color="000000" w:sz="4" w:space="0"/>
              <w:bottom w:val="single" w:color="000000" w:sz="4" w:space="0"/>
              <w:right w:val="single" w:color="000000" w:sz="4" w:space="0"/>
            </w:tcBorders>
            <w:vAlign w:val="center"/>
          </w:tcPr>
          <w:p>
            <w:pPr>
              <w:pStyle w:val="12"/>
              <w:rPr>
                <w:rFonts w:hint="eastAsia" w:eastAsia="仿宋_GB2312"/>
                <w:lang w:eastAsia="zh-CN"/>
              </w:rPr>
            </w:pPr>
            <w:r>
              <w:rPr>
                <w:rFonts w:hint="eastAsia"/>
                <w:lang w:val="en-US" w:eastAsia="zh-CN"/>
              </w:rPr>
              <w:t>刘钰</w:t>
            </w:r>
          </w:p>
        </w:tc>
      </w:tr>
      <w:tr>
        <w:tblPrEx>
          <w:tblCellMar>
            <w:top w:w="58" w:type="dxa"/>
            <w:left w:w="98" w:type="dxa"/>
            <w:bottom w:w="0" w:type="dxa"/>
            <w:right w:w="3" w:type="dxa"/>
          </w:tblCellMar>
        </w:tblPrEx>
        <w:trPr>
          <w:trHeight w:val="63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课程团队</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ind w:right="44" w:rightChars="20"/>
              <w:rPr>
                <w:rFonts w:hint="eastAsia" w:eastAsia="仿宋_GB2312"/>
                <w:lang w:val="en-US" w:eastAsia="zh-CN"/>
              </w:rPr>
            </w:pPr>
            <w:r>
              <w:rPr>
                <w:rFonts w:hint="eastAsia"/>
                <w:lang w:val="en-US" w:eastAsia="zh-CN"/>
              </w:rPr>
              <w:t>无</w:t>
            </w:r>
          </w:p>
        </w:tc>
      </w:tr>
      <w:tr>
        <w:tblPrEx>
          <w:tblCellMar>
            <w:top w:w="58" w:type="dxa"/>
            <w:left w:w="98" w:type="dxa"/>
            <w:bottom w:w="0" w:type="dxa"/>
            <w:right w:w="3" w:type="dxa"/>
          </w:tblCellMar>
        </w:tblPrEx>
        <w:trPr>
          <w:trHeight w:val="599"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授课学期</w:t>
            </w:r>
          </w:p>
        </w:tc>
        <w:tc>
          <w:tcPr>
            <w:tcW w:w="3772" w:type="dxa"/>
            <w:gridSpan w:val="4"/>
            <w:tcBorders>
              <w:top w:val="single" w:color="000000" w:sz="4" w:space="0"/>
              <w:left w:val="single" w:color="000000" w:sz="4" w:space="0"/>
              <w:bottom w:val="single" w:color="000000" w:sz="4" w:space="0"/>
              <w:right w:val="single" w:color="000000" w:sz="4" w:space="0"/>
            </w:tcBorders>
            <w:vAlign w:val="center"/>
          </w:tcPr>
          <w:p>
            <w:pPr>
              <w:pStyle w:val="12"/>
            </w:pPr>
            <w:r>
              <w:t>第</w:t>
            </w:r>
            <w:r>
              <w:rPr>
                <w:rFonts w:hint="eastAsia"/>
                <w:lang w:val="en-US" w:eastAsia="zh-CN"/>
              </w:rPr>
              <w:t>1</w:t>
            </w:r>
            <w:r>
              <w:t>学期</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学分/学时</w:t>
            </w:r>
          </w:p>
        </w:tc>
        <w:tc>
          <w:tcPr>
            <w:tcW w:w="2929" w:type="dxa"/>
            <w:gridSpan w:val="2"/>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w:t>
            </w:r>
            <w:r>
              <w:t>/</w:t>
            </w:r>
            <w:r>
              <w:rPr>
                <w:rFonts w:hint="eastAsia"/>
                <w:lang w:val="en-US" w:eastAsia="zh-CN"/>
              </w:rPr>
              <w:t>24</w:t>
            </w:r>
          </w:p>
        </w:tc>
      </w:tr>
      <w:tr>
        <w:tblPrEx>
          <w:tblCellMar>
            <w:top w:w="58" w:type="dxa"/>
            <w:left w:w="98" w:type="dxa"/>
            <w:bottom w:w="0" w:type="dxa"/>
            <w:right w:w="3" w:type="dxa"/>
          </w:tblCellMar>
        </w:tblPrEx>
        <w:trPr>
          <w:trHeight w:val="631" w:hRule="atLeast"/>
          <w:jc w:val="center"/>
        </w:trPr>
        <w:tc>
          <w:tcPr>
            <w:tcW w:w="1456" w:type="dxa"/>
            <w:vMerge w:val="restart"/>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课内学时</w:t>
            </w:r>
          </w:p>
        </w:tc>
        <w:tc>
          <w:tcPr>
            <w:tcW w:w="959" w:type="dxa"/>
            <w:vMerge w:val="restart"/>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24</w:t>
            </w:r>
          </w:p>
        </w:tc>
        <w:tc>
          <w:tcPr>
            <w:tcW w:w="810" w:type="dxa"/>
            <w:tcBorders>
              <w:top w:val="single" w:color="000000" w:sz="4" w:space="0"/>
              <w:left w:val="single" w:color="000000" w:sz="4" w:space="0"/>
              <w:bottom w:val="single" w:color="000000" w:sz="4" w:space="0"/>
              <w:right w:val="single" w:color="000000" w:sz="4" w:space="0"/>
            </w:tcBorders>
            <w:vAlign w:val="center"/>
          </w:tcPr>
          <w:p>
            <w:pPr>
              <w:pStyle w:val="12"/>
              <w:jc w:val="center"/>
              <w:rPr>
                <w:b/>
              </w:rPr>
            </w:pPr>
            <w:r>
              <w:rPr>
                <w:b/>
              </w:rPr>
              <w:t>理论</w:t>
            </w:r>
          </w:p>
          <w:p>
            <w:pPr>
              <w:pStyle w:val="12"/>
              <w:jc w:val="center"/>
              <w:rPr>
                <w:b/>
              </w:rPr>
            </w:pPr>
            <w:r>
              <w:rPr>
                <w:b/>
              </w:rPr>
              <w:t>学时</w:t>
            </w:r>
          </w:p>
        </w:tc>
        <w:tc>
          <w:tcPr>
            <w:tcW w:w="1156"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24</w:t>
            </w:r>
          </w:p>
        </w:tc>
        <w:tc>
          <w:tcPr>
            <w:tcW w:w="847" w:type="dxa"/>
            <w:tcBorders>
              <w:top w:val="single" w:color="000000" w:sz="4" w:space="0"/>
              <w:left w:val="single" w:color="000000" w:sz="4" w:space="0"/>
              <w:bottom w:val="single" w:color="000000" w:sz="4" w:space="0"/>
              <w:right w:val="single" w:color="000000" w:sz="4" w:space="0"/>
            </w:tcBorders>
            <w:vAlign w:val="center"/>
          </w:tcPr>
          <w:p>
            <w:pPr>
              <w:pStyle w:val="12"/>
              <w:jc w:val="center"/>
              <w:rPr>
                <w:b/>
              </w:rPr>
            </w:pPr>
            <w:r>
              <w:rPr>
                <w:b/>
              </w:rPr>
              <w:t>实验</w:t>
            </w:r>
          </w:p>
          <w:p>
            <w:pPr>
              <w:pStyle w:val="12"/>
              <w:jc w:val="center"/>
              <w:rPr>
                <w:b/>
              </w:rPr>
            </w:pPr>
            <w:r>
              <w:rPr>
                <w:b/>
              </w:rPr>
              <w:t>学时</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2"/>
            </w:pPr>
          </w:p>
        </w:tc>
        <w:tc>
          <w:tcPr>
            <w:tcW w:w="1452" w:type="dxa"/>
            <w:tcBorders>
              <w:top w:val="single" w:color="000000" w:sz="4" w:space="0"/>
              <w:left w:val="single" w:color="000000" w:sz="4" w:space="0"/>
              <w:bottom w:val="single" w:color="000000" w:sz="4" w:space="0"/>
              <w:right w:val="single" w:color="000000" w:sz="4" w:space="0"/>
            </w:tcBorders>
            <w:vAlign w:val="center"/>
          </w:tcPr>
          <w:p>
            <w:pPr>
              <w:pStyle w:val="12"/>
              <w:jc w:val="center"/>
              <w:rPr>
                <w:b/>
              </w:rPr>
            </w:pPr>
            <w:r>
              <w:rPr>
                <w:b/>
              </w:rPr>
              <w:t>实训</w:t>
            </w:r>
          </w:p>
          <w:p>
            <w:pPr>
              <w:pStyle w:val="12"/>
              <w:jc w:val="center"/>
              <w:rPr>
                <w:b/>
              </w:rPr>
            </w:pPr>
            <w:r>
              <w:rPr>
                <w:b/>
              </w:rPr>
              <w:t>（含上机）</w:t>
            </w:r>
          </w:p>
        </w:tc>
        <w:tc>
          <w:tcPr>
            <w:tcW w:w="1477" w:type="dxa"/>
            <w:tcBorders>
              <w:top w:val="single" w:color="000000" w:sz="4" w:space="0"/>
              <w:left w:val="single" w:color="000000" w:sz="4" w:space="0"/>
              <w:bottom w:val="single" w:color="000000" w:sz="4" w:space="0"/>
              <w:right w:val="single" w:color="000000" w:sz="4" w:space="0"/>
            </w:tcBorders>
            <w:vAlign w:val="center"/>
          </w:tcPr>
          <w:p>
            <w:pPr>
              <w:pStyle w:val="12"/>
            </w:pPr>
          </w:p>
        </w:tc>
      </w:tr>
      <w:tr>
        <w:tblPrEx>
          <w:tblCellMar>
            <w:top w:w="58" w:type="dxa"/>
            <w:left w:w="98" w:type="dxa"/>
            <w:bottom w:w="0" w:type="dxa"/>
            <w:right w:w="3" w:type="dxa"/>
          </w:tblCellMar>
        </w:tblPrEx>
        <w:trPr>
          <w:trHeight w:val="524" w:hRule="atLeast"/>
          <w:jc w:val="center"/>
        </w:trPr>
        <w:tc>
          <w:tcPr>
            <w:tcW w:w="0" w:type="auto"/>
            <w:vMerge w:val="continue"/>
            <w:tcBorders>
              <w:top w:val="nil"/>
              <w:left w:val="single" w:color="000000" w:sz="4" w:space="0"/>
              <w:bottom w:val="single" w:color="000000" w:sz="4" w:space="0"/>
              <w:right w:val="single" w:color="000000" w:sz="4" w:space="0"/>
            </w:tcBorders>
            <w:vAlign w:val="center"/>
          </w:tcPr>
          <w:p>
            <w:pPr>
              <w:pStyle w:val="12"/>
              <w:rPr>
                <w:b/>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12"/>
            </w:pPr>
          </w:p>
        </w:tc>
        <w:tc>
          <w:tcPr>
            <w:tcW w:w="810" w:type="dxa"/>
            <w:tcBorders>
              <w:top w:val="single" w:color="000000" w:sz="4" w:space="0"/>
              <w:left w:val="single" w:color="000000" w:sz="4" w:space="0"/>
              <w:bottom w:val="single" w:color="000000" w:sz="4" w:space="0"/>
              <w:right w:val="single" w:color="000000" w:sz="4" w:space="0"/>
            </w:tcBorders>
            <w:vAlign w:val="center"/>
          </w:tcPr>
          <w:p>
            <w:pPr>
              <w:pStyle w:val="12"/>
              <w:jc w:val="center"/>
              <w:rPr>
                <w:b/>
              </w:rPr>
            </w:pPr>
            <w:r>
              <w:rPr>
                <w:b/>
              </w:rPr>
              <w:t>实习</w:t>
            </w:r>
          </w:p>
        </w:tc>
        <w:tc>
          <w:tcPr>
            <w:tcW w:w="1156" w:type="dxa"/>
            <w:tcBorders>
              <w:top w:val="single" w:color="000000" w:sz="4" w:space="0"/>
              <w:left w:val="single" w:color="000000" w:sz="4" w:space="0"/>
              <w:bottom w:val="single" w:color="000000" w:sz="4" w:space="0"/>
              <w:right w:val="single" w:color="000000" w:sz="4" w:space="0"/>
            </w:tcBorders>
            <w:vAlign w:val="center"/>
          </w:tcPr>
          <w:p>
            <w:pPr>
              <w:pStyle w:val="12"/>
            </w:pPr>
          </w:p>
        </w:tc>
        <w:tc>
          <w:tcPr>
            <w:tcW w:w="847" w:type="dxa"/>
            <w:tcBorders>
              <w:top w:val="single" w:color="000000" w:sz="4" w:space="0"/>
              <w:left w:val="single" w:color="000000" w:sz="4" w:space="0"/>
              <w:bottom w:val="single" w:color="000000" w:sz="4" w:space="0"/>
              <w:right w:val="single" w:color="000000" w:sz="4" w:space="0"/>
            </w:tcBorders>
            <w:vAlign w:val="center"/>
          </w:tcPr>
          <w:p>
            <w:pPr>
              <w:pStyle w:val="12"/>
              <w:jc w:val="center"/>
              <w:rPr>
                <w:b/>
              </w:rPr>
            </w:pPr>
            <w:r>
              <w:rPr>
                <w:b/>
              </w:rPr>
              <w:t>其他</w:t>
            </w:r>
          </w:p>
        </w:tc>
        <w:tc>
          <w:tcPr>
            <w:tcW w:w="4405" w:type="dxa"/>
            <w:gridSpan w:val="3"/>
            <w:tcBorders>
              <w:top w:val="single" w:color="000000" w:sz="4" w:space="0"/>
              <w:left w:val="single" w:color="000000" w:sz="4" w:space="0"/>
              <w:bottom w:val="single" w:color="000000" w:sz="4" w:space="0"/>
              <w:right w:val="single" w:color="000000" w:sz="4" w:space="0"/>
            </w:tcBorders>
            <w:vAlign w:val="center"/>
          </w:tcPr>
          <w:p>
            <w:pPr>
              <w:pStyle w:val="12"/>
            </w:pPr>
          </w:p>
        </w:tc>
      </w:tr>
      <w:tr>
        <w:tblPrEx>
          <w:tblCellMar>
            <w:top w:w="58" w:type="dxa"/>
            <w:left w:w="98" w:type="dxa"/>
            <w:bottom w:w="0" w:type="dxa"/>
            <w:right w:w="3" w:type="dxa"/>
          </w:tblCellMar>
        </w:tblPrEx>
        <w:trPr>
          <w:trHeight w:val="568"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课外学时</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rPr>
                <w:rFonts w:hint="eastAsia" w:eastAsia="仿宋_GB2312"/>
                <w:lang w:eastAsia="zh-CN"/>
              </w:rPr>
            </w:pPr>
            <w:r>
              <w:rPr>
                <w:rFonts w:hint="eastAsia"/>
                <w:lang w:val="en-US" w:eastAsia="zh-CN"/>
              </w:rPr>
              <w:t>0</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适用专业</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道路桥梁工程技术</w:t>
            </w:r>
          </w:p>
        </w:tc>
      </w:tr>
      <w:tr>
        <w:tblPrEx>
          <w:tblCellMar>
            <w:top w:w="58" w:type="dxa"/>
            <w:left w:w="98" w:type="dxa"/>
            <w:bottom w:w="0" w:type="dxa"/>
            <w:right w:w="3" w:type="dxa"/>
          </w:tblCellMar>
        </w:tblPrEx>
        <w:trPr>
          <w:trHeight w:val="509"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授课语言</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pPr>
            <w:r>
              <w:t>中文</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先修课程</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rPr>
                <w:rFonts w:hint="eastAsia" w:eastAsia="仿宋_GB2312"/>
                <w:lang w:val="en-US" w:eastAsia="zh-CN"/>
              </w:rPr>
            </w:pPr>
            <w:r>
              <w:rPr>
                <w:rFonts w:hint="eastAsia"/>
                <w:lang w:val="en-US" w:eastAsia="zh-CN"/>
              </w:rPr>
              <w:t>无</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后续课程</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建筑工程招投标与合同管理、建筑工程项目管理、建筑工程施工组织设计、建筑工程安全与质量管理</w:t>
            </w:r>
          </w:p>
        </w:tc>
      </w:tr>
      <w:tr>
        <w:tblPrEx>
          <w:tblCellMar>
            <w:top w:w="58" w:type="dxa"/>
            <w:left w:w="98" w:type="dxa"/>
            <w:bottom w:w="0" w:type="dxa"/>
            <w:right w:w="3" w:type="dxa"/>
          </w:tblCellMar>
        </w:tblPrEx>
        <w:trPr>
          <w:trHeight w:val="2849"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课程简介</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4"/>
              <w:keepNext w:val="0"/>
              <w:keepLines w:val="0"/>
              <w:pageBreakBefore w:val="0"/>
              <w:widowControl/>
              <w:tabs>
                <w:tab w:val="left" w:pos="4176"/>
              </w:tabs>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rPr>
                <w:rFonts w:hint="eastAsia" w:ascii="宋体" w:hAnsi="宋体" w:eastAsia="仿宋_GB2312" w:cs="宋体"/>
                <w:color w:val="000000"/>
                <w:kern w:val="2"/>
                <w:sz w:val="21"/>
                <w:szCs w:val="22"/>
                <w:lang w:val="en-US" w:eastAsia="zh-CN" w:bidi="ar-SA"/>
              </w:rPr>
            </w:pPr>
            <w:r>
              <w:rPr>
                <w:rFonts w:hint="eastAsia" w:eastAsia="仿宋_GB2312" w:cs="宋体"/>
                <w:color w:val="000000"/>
                <w:kern w:val="2"/>
                <w:sz w:val="21"/>
                <w:szCs w:val="22"/>
                <w:lang w:val="en-US" w:eastAsia="zh-CN" w:bidi="ar-SA"/>
              </w:rPr>
              <w:t>建设工程</w:t>
            </w:r>
            <w:r>
              <w:rPr>
                <w:rFonts w:ascii="宋体" w:hAnsi="宋体" w:eastAsia="仿宋_GB2312" w:cs="宋体"/>
                <w:color w:val="000000"/>
                <w:kern w:val="2"/>
                <w:sz w:val="21"/>
                <w:szCs w:val="22"/>
                <w:lang w:val="en-US" w:eastAsia="zh-CN" w:bidi="ar-SA"/>
              </w:rPr>
              <w:t>法规</w:t>
            </w:r>
            <w:r>
              <w:rPr>
                <w:rFonts w:hint="eastAsia" w:ascii="宋体" w:hAnsi="宋体" w:eastAsia="仿宋_GB2312" w:cs="宋体"/>
                <w:color w:val="000000"/>
                <w:kern w:val="2"/>
                <w:sz w:val="21"/>
                <w:szCs w:val="22"/>
                <w:lang w:val="en-US" w:eastAsia="zh-CN" w:bidi="ar-SA"/>
              </w:rPr>
              <w:t>是</w:t>
            </w:r>
            <w:r>
              <w:rPr>
                <w:rFonts w:hint="eastAsia" w:eastAsia="仿宋_GB2312" w:cs="宋体"/>
                <w:color w:val="000000"/>
                <w:kern w:val="2"/>
                <w:sz w:val="21"/>
                <w:szCs w:val="22"/>
                <w:lang w:val="en-US" w:eastAsia="zh-CN" w:bidi="ar-SA"/>
              </w:rPr>
              <w:t>高等专科学生都必修的</w:t>
            </w:r>
            <w:r>
              <w:rPr>
                <w:rFonts w:hint="eastAsia" w:ascii="宋体" w:hAnsi="宋体" w:eastAsia="仿宋_GB2312" w:cs="宋体"/>
                <w:color w:val="000000"/>
                <w:kern w:val="2"/>
                <w:sz w:val="21"/>
                <w:szCs w:val="22"/>
                <w:lang w:val="en-US" w:eastAsia="zh-CN" w:bidi="ar-SA"/>
              </w:rPr>
              <w:t>一门</w:t>
            </w:r>
            <w:r>
              <w:rPr>
                <w:rFonts w:hint="eastAsia" w:eastAsia="仿宋_GB2312" w:cs="宋体"/>
                <w:color w:val="000000"/>
                <w:kern w:val="2"/>
                <w:sz w:val="21"/>
                <w:szCs w:val="22"/>
                <w:lang w:val="en-US" w:eastAsia="zh-CN" w:bidi="ar-SA"/>
              </w:rPr>
              <w:t>专业</w:t>
            </w:r>
            <w:r>
              <w:rPr>
                <w:rFonts w:hint="eastAsia" w:ascii="宋体" w:hAnsi="宋体" w:eastAsia="仿宋_GB2312" w:cs="宋体"/>
                <w:color w:val="000000"/>
                <w:kern w:val="2"/>
                <w:sz w:val="21"/>
                <w:szCs w:val="22"/>
                <w:lang w:val="en-US" w:eastAsia="zh-CN" w:bidi="ar-SA"/>
              </w:rPr>
              <w:t>基础课。课程主要内容包括法律的基本知识、建筑许可、建设工程发包承包、建设工程监理、建设工程安全生产管理、建设工程质量管理、建设工程合同及劳动合同。通过学习建筑法规，可培养和提升学生对土木工程建设法规理论知识的理解和实务处理能力，为增强其法律意识、依法从业、识别和处理工程实践中的法律纠纷奠定良好基础。使学生了解掌握建设工程领域关于工作当中各个方面的法律法规及技术标准内容，以及学生能在建设领域内掌握相应的法规内容，掌握法律法规和具体应用两个层面的应用技能。</w:t>
            </w:r>
          </w:p>
          <w:p>
            <w:pPr>
              <w:pStyle w:val="12"/>
              <w:ind w:right="44" w:rightChars="20"/>
            </w:pPr>
          </w:p>
        </w:tc>
      </w:tr>
    </w:tbl>
    <w:p>
      <w:pPr>
        <w:spacing w:after="28"/>
      </w:pPr>
      <w:r>
        <w:rPr>
          <w:rFonts w:ascii="宋体" w:hAnsi="宋体" w:eastAsia="宋体" w:cs="宋体"/>
          <w:sz w:val="21"/>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pStyle w:val="10"/>
        <w:spacing w:before="120" w:after="120"/>
      </w:pPr>
      <w:r>
        <w:rPr>
          <w:rFonts w:hint="eastAsia"/>
        </w:rPr>
        <w:t>二、</w:t>
      </w:r>
      <w:r>
        <w:t xml:space="preserve">课程目标及对毕业要求指标点的支撑 </w:t>
      </w:r>
    </w:p>
    <w:tbl>
      <w:tblPr>
        <w:tblStyle w:val="8"/>
        <w:tblW w:w="9639" w:type="dxa"/>
        <w:jc w:val="center"/>
        <w:tblLayout w:type="autofit"/>
        <w:tblCellMar>
          <w:top w:w="79" w:type="dxa"/>
          <w:left w:w="108" w:type="dxa"/>
          <w:bottom w:w="0" w:type="dxa"/>
          <w:right w:w="36" w:type="dxa"/>
        </w:tblCellMar>
      </w:tblPr>
      <w:tblGrid>
        <w:gridCol w:w="562"/>
        <w:gridCol w:w="5581"/>
        <w:gridCol w:w="1677"/>
        <w:gridCol w:w="1819"/>
      </w:tblGrid>
      <w:tr>
        <w:tblPrEx>
          <w:tblCellMar>
            <w:top w:w="79" w:type="dxa"/>
            <w:left w:w="108" w:type="dxa"/>
            <w:bottom w:w="0" w:type="dxa"/>
            <w:right w:w="36" w:type="dxa"/>
          </w:tblCellMar>
        </w:tblPrEx>
        <w:trPr>
          <w:trHeight w:val="648"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序号</w:t>
            </w:r>
          </w:p>
        </w:tc>
        <w:tc>
          <w:tcPr>
            <w:tcW w:w="558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课程目标</w:t>
            </w:r>
          </w:p>
        </w:tc>
        <w:tc>
          <w:tcPr>
            <w:tcW w:w="1677" w:type="dxa"/>
            <w:tcBorders>
              <w:top w:val="single" w:color="000000" w:sz="4" w:space="0"/>
              <w:left w:val="single" w:color="000000" w:sz="4" w:space="0"/>
              <w:bottom w:val="single" w:color="000000" w:sz="4" w:space="0"/>
              <w:right w:val="single" w:color="000000" w:sz="4" w:space="0"/>
            </w:tcBorders>
            <w:shd w:val="clear" w:color="auto" w:fill="EEECE1"/>
          </w:tcPr>
          <w:p>
            <w:pPr>
              <w:pStyle w:val="12"/>
              <w:jc w:val="center"/>
              <w:rPr>
                <w:b/>
              </w:rPr>
            </w:pPr>
            <w:r>
              <w:rPr>
                <w:b/>
              </w:rPr>
              <w:t>支撑毕业要求指标点</w:t>
            </w:r>
          </w:p>
        </w:tc>
        <w:tc>
          <w:tcPr>
            <w:tcW w:w="1819"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毕业要求</w:t>
            </w:r>
          </w:p>
        </w:tc>
      </w:tr>
      <w:tr>
        <w:tblPrEx>
          <w:tblCellMar>
            <w:top w:w="79" w:type="dxa"/>
            <w:left w:w="108" w:type="dxa"/>
            <w:bottom w:w="0" w:type="dxa"/>
            <w:right w:w="36" w:type="dxa"/>
          </w:tblCellMar>
        </w:tblPrEx>
        <w:trPr>
          <w:trHeight w:val="1954"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2"/>
              <w:jc w:val="center"/>
            </w:pPr>
            <w:r>
              <w:t>1</w:t>
            </w:r>
          </w:p>
        </w:tc>
        <w:tc>
          <w:tcPr>
            <w:tcW w:w="5581" w:type="dxa"/>
            <w:tcBorders>
              <w:top w:val="single" w:color="000000" w:sz="4" w:space="0"/>
              <w:left w:val="single" w:color="000000" w:sz="4" w:space="0"/>
              <w:bottom w:val="single" w:color="000000" w:sz="4" w:space="0"/>
              <w:right w:val="single" w:color="000000" w:sz="4" w:space="0"/>
            </w:tcBorders>
          </w:tcPr>
          <w:p>
            <w:pPr>
              <w:pStyle w:val="12"/>
              <w:ind w:right="44" w:rightChars="20"/>
              <w:rPr>
                <w:rFonts w:hint="default" w:eastAsia="仿宋_GB2312"/>
                <w:lang w:val="en-US" w:eastAsia="zh-CN"/>
              </w:rPr>
            </w:pPr>
            <w:r>
              <w:rPr>
                <w:b/>
              </w:rPr>
              <w:t>目标1</w:t>
            </w:r>
            <w:r>
              <w:rPr>
                <w:rFonts w:hint="eastAsia"/>
              </w:rPr>
              <w:t>：</w:t>
            </w:r>
            <w:r>
              <w:rPr>
                <w:rFonts w:hint="eastAsia"/>
                <w:lang w:val="en-US" w:eastAsia="zh-CN"/>
              </w:rPr>
              <w:t>增强</w:t>
            </w:r>
            <w:r>
              <w:t>学生</w:t>
            </w:r>
            <w:r>
              <w:rPr>
                <w:rFonts w:hint="eastAsia"/>
                <w:lang w:val="en-US" w:eastAsia="zh-CN"/>
              </w:rPr>
              <w:t>的建设工程法律意识</w:t>
            </w:r>
            <w:r>
              <w:t>：</w:t>
            </w:r>
            <w:r>
              <w:rPr>
                <w:rFonts w:hint="eastAsia"/>
                <w:lang w:val="en-US" w:eastAsia="zh-CN"/>
              </w:rPr>
              <w:t>能够运用法律知识分析问题、解决问题；对建设工程中产生的基本民事法律关系进行分析、处理；具备分析违法行为承担法律责任的你能力。</w:t>
            </w:r>
          </w:p>
          <w:p>
            <w:pPr>
              <w:pStyle w:val="12"/>
              <w:ind w:right="44" w:rightChars="20"/>
            </w:pPr>
          </w:p>
        </w:tc>
        <w:tc>
          <w:tcPr>
            <w:tcW w:w="1677" w:type="dxa"/>
            <w:tcBorders>
              <w:top w:val="single" w:color="000000" w:sz="4" w:space="0"/>
              <w:left w:val="single" w:color="000000" w:sz="4" w:space="0"/>
              <w:bottom w:val="single" w:color="000000" w:sz="4" w:space="0"/>
              <w:right w:val="single" w:color="000000" w:sz="4" w:space="0"/>
            </w:tcBorders>
          </w:tcPr>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5.1.2.熟悉与本专业相关的法律法规以及环境保护、安全消防、 文明生产、支付与安全等相关知识；</w:t>
            </w:r>
          </w:p>
          <w:p>
            <w:pPr>
              <w:pStyle w:val="12"/>
              <w:ind w:right="44" w:rightChars="20"/>
              <w:jc w:val="both"/>
            </w:pPr>
          </w:p>
        </w:tc>
        <w:tc>
          <w:tcPr>
            <w:tcW w:w="1819" w:type="dxa"/>
            <w:tcBorders>
              <w:top w:val="single" w:color="000000" w:sz="4" w:space="0"/>
              <w:left w:val="single" w:color="000000" w:sz="4" w:space="0"/>
              <w:bottom w:val="single" w:color="000000" w:sz="4" w:space="0"/>
              <w:right w:val="single" w:color="000000" w:sz="4" w:space="0"/>
            </w:tcBorders>
          </w:tcPr>
          <w:p>
            <w:pPr>
              <w:pStyle w:val="12"/>
              <w:ind w:right="44" w:rightChars="20"/>
              <w:jc w:val="both"/>
              <w:rPr>
                <w:rFonts w:hint="eastAsia" w:ascii="宋体" w:hAnsi="宋体" w:eastAsia="仿宋_GB2312" w:cs="宋体"/>
                <w:color w:val="000000"/>
                <w:kern w:val="2"/>
                <w:sz w:val="21"/>
                <w:szCs w:val="22"/>
                <w:lang w:val="en-US" w:eastAsia="zh-CN" w:bidi="ar-SA"/>
              </w:rPr>
            </w:pPr>
            <w:r>
              <w:rPr>
                <w:rFonts w:hint="eastAsia" w:cs="宋体"/>
                <w:color w:val="000000"/>
                <w:kern w:val="2"/>
                <w:sz w:val="21"/>
                <w:szCs w:val="22"/>
                <w:lang w:val="en-US" w:eastAsia="zh-CN" w:bidi="ar-SA"/>
              </w:rPr>
              <w:t>5.2.</w:t>
            </w:r>
            <w:r>
              <w:rPr>
                <w:rFonts w:hint="eastAsia" w:ascii="宋体" w:hAnsi="宋体" w:eastAsia="仿宋_GB2312" w:cs="宋体"/>
                <w:color w:val="000000"/>
                <w:kern w:val="2"/>
                <w:sz w:val="21"/>
                <w:szCs w:val="22"/>
                <w:lang w:val="en-US" w:eastAsia="zh-CN" w:bidi="ar-SA"/>
              </w:rPr>
              <w:t xml:space="preserve">1.具有探究学习、终身学习、分析问题和解决问题的能力； </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5.2.2.具有良好的语言、文字表达能力和沟通能力；</w:t>
            </w:r>
          </w:p>
          <w:p>
            <w:pPr>
              <w:pStyle w:val="12"/>
              <w:ind w:right="44" w:rightChars="20"/>
              <w:jc w:val="both"/>
              <w:rPr>
                <w:rFonts w:hint="eastAsia" w:ascii="宋体" w:hAnsi="宋体" w:eastAsia="仿宋_GB2312" w:cs="宋体"/>
                <w:color w:val="000000"/>
                <w:kern w:val="2"/>
                <w:sz w:val="21"/>
                <w:szCs w:val="22"/>
                <w:lang w:val="en-US" w:eastAsia="zh-CN" w:bidi="ar-SA"/>
              </w:rPr>
            </w:pPr>
          </w:p>
        </w:tc>
      </w:tr>
      <w:tr>
        <w:tblPrEx>
          <w:tblCellMar>
            <w:top w:w="79" w:type="dxa"/>
            <w:left w:w="108" w:type="dxa"/>
            <w:bottom w:w="0" w:type="dxa"/>
            <w:right w:w="36" w:type="dxa"/>
          </w:tblCellMar>
        </w:tblPrEx>
        <w:trPr>
          <w:trHeight w:val="2039"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2"/>
              <w:jc w:val="center"/>
            </w:pPr>
            <w:r>
              <w:t>2</w:t>
            </w:r>
          </w:p>
        </w:tc>
        <w:tc>
          <w:tcPr>
            <w:tcW w:w="5581" w:type="dxa"/>
            <w:tcBorders>
              <w:top w:val="single" w:color="000000" w:sz="4" w:space="0"/>
              <w:left w:val="single" w:color="000000" w:sz="4" w:space="0"/>
              <w:bottom w:val="single" w:color="000000" w:sz="4" w:space="0"/>
              <w:right w:val="single" w:color="000000" w:sz="4" w:space="0"/>
            </w:tcBorders>
          </w:tcPr>
          <w:p>
            <w:pPr>
              <w:pStyle w:val="12"/>
              <w:ind w:right="44" w:rightChars="20"/>
              <w:rPr>
                <w:rFonts w:hint="default" w:eastAsia="仿宋_GB2312"/>
                <w:lang w:val="en-US" w:eastAsia="zh-CN"/>
              </w:rPr>
            </w:pPr>
            <w:r>
              <w:rPr>
                <w:b/>
              </w:rPr>
              <w:t>目标2</w:t>
            </w:r>
            <w:r>
              <w:rPr>
                <w:rFonts w:hint="eastAsia"/>
              </w:rPr>
              <w:t>：</w:t>
            </w:r>
            <w:r>
              <w:t>培养学生的</w:t>
            </w:r>
            <w:r>
              <w:rPr>
                <w:rFonts w:hint="eastAsia"/>
                <w:lang w:val="en-US" w:eastAsia="zh-CN"/>
              </w:rPr>
              <w:t>运用相关规范的能力</w:t>
            </w:r>
            <w:r>
              <w:t>：</w:t>
            </w:r>
            <w:r>
              <w:rPr>
                <w:rFonts w:hint="eastAsia"/>
                <w:lang w:val="en-US" w:eastAsia="zh-CN"/>
              </w:rPr>
              <w:t>能够按照流程办理施工许可证；能够独立区分从业单位的资质等级；能够独立列出从业人员执业资格制度。</w:t>
            </w:r>
          </w:p>
        </w:tc>
        <w:tc>
          <w:tcPr>
            <w:tcW w:w="1677" w:type="dxa"/>
            <w:tcBorders>
              <w:top w:val="single" w:color="000000" w:sz="4" w:space="0"/>
              <w:left w:val="single" w:color="000000" w:sz="4" w:space="0"/>
              <w:bottom w:val="single" w:color="000000" w:sz="4" w:space="0"/>
              <w:right w:val="single" w:color="000000" w:sz="4" w:space="0"/>
            </w:tcBorders>
          </w:tcPr>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5.1.2.熟悉与本专业相关的法律法规以及环境保护、安全消防、 文明生产、支付与安全等相关知识；</w:t>
            </w:r>
          </w:p>
          <w:p>
            <w:pPr>
              <w:pStyle w:val="12"/>
              <w:ind w:right="44" w:rightChars="20"/>
            </w:pPr>
          </w:p>
        </w:tc>
        <w:tc>
          <w:tcPr>
            <w:tcW w:w="1819" w:type="dxa"/>
            <w:tcBorders>
              <w:top w:val="single" w:color="000000" w:sz="4" w:space="0"/>
              <w:left w:val="single" w:color="000000" w:sz="4" w:space="0"/>
              <w:bottom w:val="single" w:color="000000" w:sz="4" w:space="0"/>
              <w:right w:val="single" w:color="000000" w:sz="4" w:space="0"/>
            </w:tcBorders>
          </w:tcPr>
          <w:p>
            <w:pPr>
              <w:pStyle w:val="12"/>
              <w:ind w:right="44" w:rightChars="20"/>
              <w:jc w:val="both"/>
              <w:rPr>
                <w:rFonts w:hint="eastAsia" w:ascii="宋体" w:hAnsi="宋体" w:eastAsia="仿宋_GB2312" w:cs="宋体"/>
                <w:color w:val="000000"/>
                <w:kern w:val="2"/>
                <w:sz w:val="21"/>
                <w:szCs w:val="22"/>
                <w:lang w:val="en-US" w:eastAsia="zh-CN" w:bidi="ar-SA"/>
              </w:rPr>
            </w:pPr>
            <w:r>
              <w:rPr>
                <w:rFonts w:hint="eastAsia" w:cs="宋体"/>
                <w:color w:val="000000"/>
                <w:kern w:val="2"/>
                <w:sz w:val="21"/>
                <w:szCs w:val="22"/>
                <w:lang w:val="en-US" w:eastAsia="zh-CN" w:bidi="ar-SA"/>
              </w:rPr>
              <w:t>5.2.</w:t>
            </w:r>
            <w:r>
              <w:rPr>
                <w:rFonts w:hint="eastAsia" w:ascii="宋体" w:hAnsi="宋体" w:eastAsia="仿宋_GB2312" w:cs="宋体"/>
                <w:color w:val="000000"/>
                <w:kern w:val="2"/>
                <w:sz w:val="21"/>
                <w:szCs w:val="22"/>
                <w:lang w:val="en-US" w:eastAsia="zh-CN" w:bidi="ar-SA"/>
              </w:rPr>
              <w:t xml:space="preserve">1.具有探究学习、终身学习、分析问题和解决问题的能力； </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5.2.2.具有良好的语言、文字表达能力和沟通能力；</w:t>
            </w:r>
          </w:p>
          <w:p>
            <w:pPr>
              <w:pStyle w:val="12"/>
              <w:ind w:right="44" w:rightChars="20"/>
            </w:pPr>
            <w:r>
              <w:t xml:space="preserve"> </w:t>
            </w:r>
          </w:p>
        </w:tc>
      </w:tr>
      <w:tr>
        <w:tblPrEx>
          <w:tblCellMar>
            <w:top w:w="79" w:type="dxa"/>
            <w:left w:w="108" w:type="dxa"/>
            <w:bottom w:w="0" w:type="dxa"/>
            <w:right w:w="36" w:type="dxa"/>
          </w:tblCellMar>
        </w:tblPrEx>
        <w:trPr>
          <w:trHeight w:val="2027"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2"/>
              <w:jc w:val="center"/>
            </w:pPr>
            <w:r>
              <w:t>3</w:t>
            </w:r>
          </w:p>
        </w:tc>
        <w:tc>
          <w:tcPr>
            <w:tcW w:w="5581" w:type="dxa"/>
            <w:tcBorders>
              <w:top w:val="single" w:color="000000" w:sz="4" w:space="0"/>
              <w:left w:val="single" w:color="000000" w:sz="4" w:space="0"/>
              <w:bottom w:val="single" w:color="000000" w:sz="4" w:space="0"/>
              <w:right w:val="single" w:color="000000" w:sz="4" w:space="0"/>
            </w:tcBorders>
          </w:tcPr>
          <w:p>
            <w:pPr>
              <w:pStyle w:val="12"/>
              <w:ind w:right="44" w:rightChars="20"/>
              <w:rPr>
                <w:rFonts w:hint="default"/>
                <w:lang w:val="en-US"/>
              </w:rPr>
            </w:pPr>
            <w:r>
              <w:rPr>
                <w:b/>
              </w:rPr>
              <w:t>目标3</w:t>
            </w:r>
            <w:r>
              <w:rPr>
                <w:rFonts w:hint="eastAsia"/>
                <w:b/>
              </w:rPr>
              <w:t>：</w:t>
            </w:r>
            <w:r>
              <w:rPr>
                <w:rFonts w:hint="eastAsia"/>
                <w:lang w:val="en-US" w:eastAsia="zh-CN"/>
              </w:rPr>
              <w:t>培养</w:t>
            </w:r>
            <w:r>
              <w:t>学生</w:t>
            </w:r>
            <w:r>
              <w:rPr>
                <w:rFonts w:hint="eastAsia"/>
                <w:lang w:val="en-US" w:eastAsia="zh-CN"/>
              </w:rPr>
              <w:t>能根据建设工程发承包法律法规开展工程建设项目招标与投标工作；能够运用招标投标法的相关规定进行工程建设活动。</w:t>
            </w:r>
          </w:p>
        </w:tc>
        <w:tc>
          <w:tcPr>
            <w:tcW w:w="1677" w:type="dxa"/>
            <w:tcBorders>
              <w:top w:val="single" w:color="000000" w:sz="4" w:space="0"/>
              <w:left w:val="single" w:color="000000" w:sz="4" w:space="0"/>
              <w:bottom w:val="single" w:color="000000" w:sz="4" w:space="0"/>
              <w:right w:val="single" w:color="000000" w:sz="4" w:space="0"/>
            </w:tcBorders>
          </w:tcPr>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5.1.2.熟悉与本专业相关的法律法规以及环境保护、安全消防、 文明生产、支付与安全等相关知识；</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5.1.9.了解工程合同、招投标和施工企业管理（含施工项目管理）的基本知识；</w:t>
            </w:r>
          </w:p>
          <w:p>
            <w:pPr>
              <w:pStyle w:val="12"/>
              <w:ind w:right="44" w:rightChars="20"/>
            </w:pPr>
            <w:r>
              <w:t xml:space="preserve"> </w:t>
            </w:r>
          </w:p>
        </w:tc>
        <w:tc>
          <w:tcPr>
            <w:tcW w:w="1819" w:type="dxa"/>
            <w:tcBorders>
              <w:top w:val="single" w:color="000000" w:sz="4" w:space="0"/>
              <w:left w:val="single" w:color="000000" w:sz="4" w:space="0"/>
              <w:bottom w:val="single" w:color="000000" w:sz="4" w:space="0"/>
              <w:right w:val="single" w:color="000000" w:sz="4" w:space="0"/>
            </w:tcBorders>
          </w:tcPr>
          <w:p>
            <w:pPr>
              <w:pStyle w:val="12"/>
              <w:ind w:right="44" w:rightChars="20"/>
              <w:jc w:val="both"/>
              <w:rPr>
                <w:rFonts w:hint="eastAsia" w:ascii="宋体" w:hAnsi="宋体" w:eastAsia="仿宋_GB2312" w:cs="宋体"/>
                <w:color w:val="000000"/>
                <w:kern w:val="2"/>
                <w:sz w:val="21"/>
                <w:szCs w:val="22"/>
                <w:lang w:val="en-US" w:eastAsia="zh-CN" w:bidi="ar-SA"/>
              </w:rPr>
            </w:pPr>
            <w:r>
              <w:rPr>
                <w:rFonts w:hint="eastAsia" w:cs="宋体"/>
                <w:color w:val="000000"/>
                <w:kern w:val="2"/>
                <w:sz w:val="21"/>
                <w:szCs w:val="22"/>
                <w:lang w:val="en-US" w:eastAsia="zh-CN" w:bidi="ar-SA"/>
              </w:rPr>
              <w:t>5.2.</w:t>
            </w:r>
            <w:r>
              <w:rPr>
                <w:rFonts w:hint="eastAsia" w:ascii="宋体" w:hAnsi="宋体" w:eastAsia="仿宋_GB2312" w:cs="宋体"/>
                <w:color w:val="000000"/>
                <w:kern w:val="2"/>
                <w:sz w:val="21"/>
                <w:szCs w:val="22"/>
                <w:lang w:val="en-US" w:eastAsia="zh-CN" w:bidi="ar-SA"/>
              </w:rPr>
              <w:t xml:space="preserve">1.具有探究学习、终身学习、分析问题和解决问题的能力； </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5.2.2.具有良好的语言、文字表达能力和沟通能力；</w:t>
            </w:r>
          </w:p>
          <w:p>
            <w:pPr>
              <w:pStyle w:val="12"/>
              <w:ind w:right="44" w:rightChars="20"/>
            </w:pPr>
            <w:r>
              <w:rPr>
                <w:rFonts w:hint="eastAsia" w:cs="宋体"/>
                <w:color w:val="000000"/>
                <w:kern w:val="2"/>
                <w:sz w:val="21"/>
                <w:szCs w:val="22"/>
                <w:lang w:val="en-US" w:eastAsia="zh-CN" w:bidi="ar-SA"/>
              </w:rPr>
              <w:t>5</w:t>
            </w:r>
            <w:r>
              <w:rPr>
                <w:rFonts w:hint="eastAsia" w:ascii="宋体" w:hAnsi="宋体" w:eastAsia="仿宋_GB2312" w:cs="宋体"/>
                <w:color w:val="000000"/>
                <w:kern w:val="2"/>
                <w:sz w:val="21"/>
                <w:szCs w:val="22"/>
                <w:lang w:val="en-US" w:eastAsia="zh-CN" w:bidi="ar-SA"/>
              </w:rPr>
              <w:t xml:space="preserve">.2.4.勇于奋斗、乐观向上，具有自我管理能力、职业生涯规划的意识，有较强的集体意识和团队合作精神； </w:t>
            </w:r>
          </w:p>
        </w:tc>
      </w:tr>
      <w:tr>
        <w:tblPrEx>
          <w:tblCellMar>
            <w:top w:w="79" w:type="dxa"/>
            <w:left w:w="108" w:type="dxa"/>
            <w:bottom w:w="0" w:type="dxa"/>
            <w:right w:w="36" w:type="dxa"/>
          </w:tblCellMar>
        </w:tblPrEx>
        <w:trPr>
          <w:trHeight w:val="3402" w:hRule="atLeast"/>
          <w:jc w:val="center"/>
        </w:trPr>
        <w:tc>
          <w:tcPr>
            <w:tcW w:w="562" w:type="dxa"/>
            <w:tcBorders>
              <w:top w:val="single" w:color="000000" w:sz="4" w:space="0"/>
              <w:left w:val="single" w:color="000000" w:sz="4" w:space="0"/>
              <w:right w:val="single" w:color="000000" w:sz="4" w:space="0"/>
            </w:tcBorders>
            <w:vAlign w:val="center"/>
          </w:tcPr>
          <w:p>
            <w:pPr>
              <w:pStyle w:val="12"/>
            </w:pPr>
            <w:r>
              <w:t xml:space="preserve">4 </w:t>
            </w:r>
          </w:p>
        </w:tc>
        <w:tc>
          <w:tcPr>
            <w:tcW w:w="5581" w:type="dxa"/>
            <w:tcBorders>
              <w:top w:val="single" w:color="000000" w:sz="4" w:space="0"/>
              <w:left w:val="single" w:color="000000" w:sz="4" w:space="0"/>
              <w:right w:val="single" w:color="000000" w:sz="4" w:space="0"/>
            </w:tcBorders>
          </w:tcPr>
          <w:p>
            <w:pPr>
              <w:pStyle w:val="12"/>
              <w:ind w:right="44" w:rightChars="20"/>
              <w:rPr>
                <w:rFonts w:hint="default" w:eastAsia="仿宋_GB2312"/>
                <w:lang w:val="en-US" w:eastAsia="zh-CN"/>
              </w:rPr>
            </w:pPr>
            <w:r>
              <w:rPr>
                <w:b/>
              </w:rPr>
              <w:t>目标4</w:t>
            </w:r>
            <w:r>
              <w:rPr>
                <w:rFonts w:hint="eastAsia"/>
              </w:rPr>
              <w:t>：</w:t>
            </w:r>
            <w:r>
              <w:t>培养学生</w:t>
            </w:r>
            <w:r>
              <w:rPr>
                <w:rFonts w:hint="eastAsia"/>
                <w:lang w:val="en-US" w:eastAsia="zh-CN"/>
              </w:rPr>
              <w:t>具备签订建设工程施工合同的能力；能够研读合同并进行条件分析；能够按照合同条款进行项目管理，避免违约事件的发生；发生合同违约行为后，能及时、准确地做出应对。</w:t>
            </w:r>
          </w:p>
        </w:tc>
        <w:tc>
          <w:tcPr>
            <w:tcW w:w="1677" w:type="dxa"/>
            <w:tcBorders>
              <w:top w:val="single" w:color="000000" w:sz="4" w:space="0"/>
              <w:left w:val="single" w:color="000000" w:sz="4" w:space="0"/>
              <w:right w:val="single" w:color="000000" w:sz="4" w:space="0"/>
            </w:tcBorders>
          </w:tcPr>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5.1.2.熟悉与本专业相关的法律法规以及环境保护、安全消防、 文明生产、支付与安全等相关知识；</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5.1.9.了解工程合同、招投标和施工企业管理（含施工项目管理）的基本知识；</w:t>
            </w:r>
          </w:p>
          <w:p>
            <w:pPr>
              <w:pStyle w:val="12"/>
            </w:pPr>
            <w:r>
              <w:t xml:space="preserve"> </w:t>
            </w:r>
          </w:p>
        </w:tc>
        <w:tc>
          <w:tcPr>
            <w:tcW w:w="1819" w:type="dxa"/>
            <w:tcBorders>
              <w:top w:val="single" w:color="000000" w:sz="4" w:space="0"/>
              <w:left w:val="single" w:color="000000" w:sz="4" w:space="0"/>
              <w:right w:val="single" w:color="000000" w:sz="4" w:space="0"/>
            </w:tcBorders>
          </w:tcPr>
          <w:p>
            <w:pPr>
              <w:pStyle w:val="12"/>
              <w:ind w:right="44" w:rightChars="20"/>
              <w:jc w:val="both"/>
              <w:rPr>
                <w:rFonts w:hint="eastAsia" w:ascii="宋体" w:hAnsi="宋体" w:eastAsia="仿宋_GB2312" w:cs="宋体"/>
                <w:color w:val="000000"/>
                <w:kern w:val="2"/>
                <w:sz w:val="21"/>
                <w:szCs w:val="22"/>
                <w:lang w:val="en-US" w:eastAsia="zh-CN" w:bidi="ar-SA"/>
              </w:rPr>
            </w:pPr>
            <w:r>
              <w:rPr>
                <w:rFonts w:hint="eastAsia" w:cs="宋体"/>
                <w:color w:val="000000"/>
                <w:kern w:val="2"/>
                <w:sz w:val="21"/>
                <w:szCs w:val="22"/>
                <w:lang w:val="en-US" w:eastAsia="zh-CN" w:bidi="ar-SA"/>
              </w:rPr>
              <w:t>5.2.</w:t>
            </w:r>
            <w:r>
              <w:rPr>
                <w:rFonts w:hint="eastAsia" w:ascii="宋体" w:hAnsi="宋体" w:eastAsia="仿宋_GB2312" w:cs="宋体"/>
                <w:color w:val="000000"/>
                <w:kern w:val="2"/>
                <w:sz w:val="21"/>
                <w:szCs w:val="22"/>
                <w:lang w:val="en-US" w:eastAsia="zh-CN" w:bidi="ar-SA"/>
              </w:rPr>
              <w:t xml:space="preserve">1.具有探究学习、终身学习、分析问题和解决问题的能力； </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5.2.2.具有良好的语言、文字表达能力和沟通能力；</w:t>
            </w:r>
          </w:p>
          <w:p>
            <w:pPr>
              <w:pStyle w:val="12"/>
              <w:ind w:right="44" w:rightChars="20"/>
            </w:pPr>
            <w:r>
              <w:rPr>
                <w:rFonts w:hint="eastAsia" w:cs="宋体"/>
                <w:color w:val="000000"/>
                <w:kern w:val="2"/>
                <w:sz w:val="21"/>
                <w:szCs w:val="22"/>
                <w:lang w:val="en-US" w:eastAsia="zh-CN" w:bidi="ar-SA"/>
              </w:rPr>
              <w:t>5</w:t>
            </w:r>
            <w:r>
              <w:rPr>
                <w:rFonts w:hint="eastAsia" w:ascii="宋体" w:hAnsi="宋体" w:eastAsia="仿宋_GB2312" w:cs="宋体"/>
                <w:color w:val="000000"/>
                <w:kern w:val="2"/>
                <w:sz w:val="21"/>
                <w:szCs w:val="22"/>
                <w:lang w:val="en-US" w:eastAsia="zh-CN" w:bidi="ar-SA"/>
              </w:rPr>
              <w:t>.2.4.勇于奋斗、乐观向上，具有自我管理能力、职业生涯规划的意识，有较强的集体意识和团队合作精神；</w:t>
            </w:r>
            <w:r>
              <w:t xml:space="preserve"> </w:t>
            </w:r>
          </w:p>
        </w:tc>
      </w:tr>
      <w:tr>
        <w:tblPrEx>
          <w:tblCellMar>
            <w:top w:w="81" w:type="dxa"/>
            <w:left w:w="108" w:type="dxa"/>
            <w:bottom w:w="0" w:type="dxa"/>
            <w:right w:w="93" w:type="dxa"/>
          </w:tblCellMar>
        </w:tblPrEx>
        <w:trPr>
          <w:trHeight w:val="1468"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5 </w:t>
            </w:r>
          </w:p>
        </w:tc>
        <w:tc>
          <w:tcPr>
            <w:tcW w:w="5581" w:type="dxa"/>
            <w:tcBorders>
              <w:top w:val="single" w:color="000000" w:sz="4" w:space="0"/>
              <w:left w:val="single" w:color="000000" w:sz="4" w:space="0"/>
              <w:bottom w:val="single" w:color="000000" w:sz="4" w:space="0"/>
              <w:right w:val="single" w:color="000000" w:sz="4" w:space="0"/>
            </w:tcBorders>
          </w:tcPr>
          <w:p>
            <w:pPr>
              <w:pStyle w:val="12"/>
              <w:ind w:right="44" w:rightChars="20"/>
            </w:pPr>
            <w:r>
              <w:rPr>
                <w:b/>
              </w:rPr>
              <w:t>目标5</w:t>
            </w:r>
            <w:r>
              <w:rPr>
                <w:rFonts w:hint="eastAsia"/>
              </w:rPr>
              <w:t>：</w:t>
            </w:r>
            <w:r>
              <w:t>培养学生</w:t>
            </w:r>
            <w:r>
              <w:rPr>
                <w:rFonts w:hint="eastAsia"/>
                <w:lang w:val="en-US" w:eastAsia="zh-CN"/>
              </w:rPr>
              <w:t>安全生产的意识和“以人为本”的思想；具备较强的安全生产责任心；具备分析、判断危险标志的能力；具备施工现场事故上报的能力。</w:t>
            </w:r>
            <w:r>
              <w:t xml:space="preserve"> </w:t>
            </w:r>
          </w:p>
        </w:tc>
        <w:tc>
          <w:tcPr>
            <w:tcW w:w="1677" w:type="dxa"/>
            <w:tcBorders>
              <w:top w:val="single" w:color="000000" w:sz="4" w:space="0"/>
              <w:left w:val="single" w:color="000000" w:sz="4" w:space="0"/>
              <w:bottom w:val="single" w:color="000000" w:sz="4" w:space="0"/>
              <w:right w:val="single" w:color="000000" w:sz="4" w:space="0"/>
            </w:tcBorders>
          </w:tcPr>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5.1.2.熟悉与本专业相关的法律法规以及环境保护、安全消防、 文明生产、支付与安全等相关知识；</w:t>
            </w:r>
          </w:p>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5.1.7.能按照建筑工程进度、质量、安全、造价、环保和职业健康的要求科学组织施工和有效指导施工作业，并处理施工中的一般技术问题的能力；</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p>
          <w:p>
            <w:pPr>
              <w:pStyle w:val="12"/>
              <w:ind w:right="44" w:rightChars="20"/>
            </w:pPr>
            <w:r>
              <w:t xml:space="preserve"> </w:t>
            </w:r>
          </w:p>
        </w:tc>
        <w:tc>
          <w:tcPr>
            <w:tcW w:w="1819" w:type="dxa"/>
            <w:tcBorders>
              <w:top w:val="single" w:color="000000" w:sz="4" w:space="0"/>
              <w:left w:val="single" w:color="000000" w:sz="4" w:space="0"/>
              <w:bottom w:val="single" w:color="000000" w:sz="4" w:space="0"/>
              <w:right w:val="single" w:color="000000" w:sz="4" w:space="0"/>
            </w:tcBorders>
          </w:tcPr>
          <w:p>
            <w:pPr>
              <w:pStyle w:val="12"/>
              <w:ind w:right="44" w:rightChars="20"/>
              <w:jc w:val="both"/>
              <w:rPr>
                <w:rFonts w:hint="eastAsia" w:ascii="宋体" w:hAnsi="宋体" w:eastAsia="仿宋_GB2312" w:cs="宋体"/>
                <w:color w:val="000000"/>
                <w:kern w:val="2"/>
                <w:sz w:val="21"/>
                <w:szCs w:val="22"/>
                <w:lang w:val="en-US" w:eastAsia="zh-CN" w:bidi="ar-SA"/>
              </w:rPr>
            </w:pPr>
            <w:r>
              <w:rPr>
                <w:rFonts w:hint="eastAsia" w:cs="宋体"/>
                <w:color w:val="000000"/>
                <w:kern w:val="2"/>
                <w:sz w:val="21"/>
                <w:szCs w:val="22"/>
                <w:lang w:val="en-US" w:eastAsia="zh-CN" w:bidi="ar-SA"/>
              </w:rPr>
              <w:t>5.2.</w:t>
            </w:r>
            <w:r>
              <w:rPr>
                <w:rFonts w:hint="eastAsia" w:ascii="宋体" w:hAnsi="宋体" w:eastAsia="仿宋_GB2312" w:cs="宋体"/>
                <w:color w:val="000000"/>
                <w:kern w:val="2"/>
                <w:sz w:val="21"/>
                <w:szCs w:val="22"/>
                <w:lang w:val="en-US" w:eastAsia="zh-CN" w:bidi="ar-SA"/>
              </w:rPr>
              <w:t xml:space="preserve">1.具有探究学习、终身学习、分析问题和解决问题的能力； </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5.2.2.具有良好的语言、文字表达能力和沟通能力；</w:t>
            </w:r>
          </w:p>
          <w:p>
            <w:pPr>
              <w:pStyle w:val="12"/>
              <w:numPr>
                <w:ilvl w:val="0"/>
                <w:numId w:val="1"/>
              </w:numPr>
              <w:ind w:right="44" w:rightChars="20"/>
            </w:pPr>
            <w:r>
              <w:t xml:space="preserve">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Cs/>
                <w:sz w:val="28"/>
                <w:szCs w:val="28"/>
              </w:rPr>
            </w:pPr>
            <w:r>
              <w:rPr>
                <w:rFonts w:hint="eastAsia" w:ascii="宋体" w:hAnsi="宋体" w:eastAsia="仿宋_GB2312" w:cs="宋体"/>
                <w:color w:val="000000"/>
                <w:kern w:val="2"/>
                <w:sz w:val="21"/>
                <w:szCs w:val="22"/>
                <w:lang w:val="en-US" w:eastAsia="zh-CN" w:bidi="ar-SA"/>
              </w:rPr>
              <w:t xml:space="preserve">5.2.3.具有质量意识、环保意识、安全意识、信息素养、工匠精神和创新思维； </w:t>
            </w:r>
          </w:p>
          <w:p>
            <w:pPr>
              <w:pStyle w:val="12"/>
              <w:numPr>
                <w:ilvl w:val="0"/>
                <w:numId w:val="0"/>
              </w:numPr>
              <w:ind w:right="44" w:rightChars="20"/>
            </w:pPr>
          </w:p>
        </w:tc>
      </w:tr>
      <w:tr>
        <w:tblPrEx>
          <w:tblCellMar>
            <w:top w:w="81" w:type="dxa"/>
            <w:left w:w="108" w:type="dxa"/>
            <w:bottom w:w="0" w:type="dxa"/>
            <w:right w:w="93" w:type="dxa"/>
          </w:tblCellMar>
        </w:tblPrEx>
        <w:trPr>
          <w:trHeight w:val="3310"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6 </w:t>
            </w:r>
          </w:p>
        </w:tc>
        <w:tc>
          <w:tcPr>
            <w:tcW w:w="5581" w:type="dxa"/>
            <w:tcBorders>
              <w:top w:val="single" w:color="000000" w:sz="4" w:space="0"/>
              <w:left w:val="single" w:color="000000" w:sz="4" w:space="0"/>
              <w:bottom w:val="single" w:color="000000" w:sz="4" w:space="0"/>
              <w:right w:val="single" w:color="000000" w:sz="4" w:space="0"/>
            </w:tcBorders>
          </w:tcPr>
          <w:p>
            <w:pPr>
              <w:pStyle w:val="12"/>
              <w:ind w:right="44" w:rightChars="20"/>
              <w:rPr>
                <w:rFonts w:hint="default" w:eastAsia="仿宋_GB2312"/>
                <w:lang w:val="en-US" w:eastAsia="zh-CN"/>
              </w:rPr>
            </w:pPr>
            <w:r>
              <w:rPr>
                <w:b/>
              </w:rPr>
              <w:t>目标6</w:t>
            </w:r>
            <w:r>
              <w:rPr>
                <w:rFonts w:hint="eastAsia"/>
              </w:rPr>
              <w:t>：</w:t>
            </w:r>
            <w:r>
              <w:t>培养学生</w:t>
            </w:r>
            <w:r>
              <w:rPr>
                <w:rFonts w:hint="eastAsia"/>
                <w:lang w:val="en-US" w:eastAsia="zh-CN"/>
              </w:rPr>
              <w:t>学生在实际工作中的工程质量意识；提高工程质量管理水平；能够熟练识别建设行为各方主体质量责任和义务的具体规定。</w:t>
            </w:r>
          </w:p>
        </w:tc>
        <w:tc>
          <w:tcPr>
            <w:tcW w:w="1677" w:type="dxa"/>
            <w:tcBorders>
              <w:top w:val="single" w:color="000000" w:sz="4" w:space="0"/>
              <w:left w:val="single" w:color="000000" w:sz="4" w:space="0"/>
              <w:bottom w:val="single" w:color="000000" w:sz="4" w:space="0"/>
              <w:right w:val="single" w:color="000000" w:sz="4" w:space="0"/>
            </w:tcBorders>
          </w:tcPr>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5.1.2.熟悉与本专业相关的法律法规以及环境保护、安全消防、 文明生产、支付与安全等相关知识；</w:t>
            </w:r>
          </w:p>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textAlignment w:val="auto"/>
            </w:pPr>
            <w:r>
              <w:rPr>
                <w:rFonts w:hint="eastAsia" w:ascii="宋体" w:hAnsi="宋体" w:eastAsia="仿宋_GB2312" w:cs="宋体"/>
                <w:color w:val="000000"/>
                <w:kern w:val="2"/>
                <w:sz w:val="21"/>
                <w:szCs w:val="22"/>
                <w:lang w:val="en-US" w:eastAsia="zh-CN" w:bidi="ar-SA"/>
              </w:rPr>
              <w:t>5.1.7.能按照建筑工程进度、质量、安全、造价、环保和职业健康的要求科学组织施工和有效指导施工作业，并处理施工中的一般技术问题的能力；</w:t>
            </w:r>
          </w:p>
        </w:tc>
        <w:tc>
          <w:tcPr>
            <w:tcW w:w="1819" w:type="dxa"/>
            <w:tcBorders>
              <w:top w:val="single" w:color="000000" w:sz="4" w:space="0"/>
              <w:left w:val="single" w:color="000000" w:sz="4" w:space="0"/>
              <w:bottom w:val="single" w:color="000000" w:sz="4" w:space="0"/>
              <w:right w:val="single" w:color="000000" w:sz="4" w:space="0"/>
            </w:tcBorders>
          </w:tcPr>
          <w:p>
            <w:pPr>
              <w:pStyle w:val="12"/>
              <w:ind w:right="44" w:rightChars="20"/>
              <w:jc w:val="both"/>
              <w:rPr>
                <w:rFonts w:hint="eastAsia" w:ascii="宋体" w:hAnsi="宋体" w:eastAsia="仿宋_GB2312" w:cs="宋体"/>
                <w:color w:val="000000"/>
                <w:kern w:val="2"/>
                <w:sz w:val="21"/>
                <w:szCs w:val="22"/>
                <w:lang w:val="en-US" w:eastAsia="zh-CN" w:bidi="ar-SA"/>
              </w:rPr>
            </w:pPr>
            <w:r>
              <w:rPr>
                <w:rFonts w:hint="eastAsia" w:cs="宋体"/>
                <w:color w:val="000000"/>
                <w:kern w:val="2"/>
                <w:sz w:val="21"/>
                <w:szCs w:val="22"/>
                <w:lang w:val="en-US" w:eastAsia="zh-CN" w:bidi="ar-SA"/>
              </w:rPr>
              <w:t>5.2.</w:t>
            </w:r>
            <w:r>
              <w:rPr>
                <w:rFonts w:hint="eastAsia" w:ascii="宋体" w:hAnsi="宋体" w:eastAsia="仿宋_GB2312" w:cs="宋体"/>
                <w:color w:val="000000"/>
                <w:kern w:val="2"/>
                <w:sz w:val="21"/>
                <w:szCs w:val="22"/>
                <w:lang w:val="en-US" w:eastAsia="zh-CN" w:bidi="ar-SA"/>
              </w:rPr>
              <w:t xml:space="preserve">1.具有探究学习、终身学习、分析问题和解决问题的能力； </w:t>
            </w:r>
          </w:p>
          <w:p>
            <w:pPr>
              <w:pStyle w:val="3"/>
              <w:keepNext w:val="0"/>
              <w:keepLines w:val="0"/>
              <w:pageBreakBefore w:val="0"/>
              <w:widowControl/>
              <w:kinsoku/>
              <w:wordWrap/>
              <w:overflowPunct/>
              <w:topLinePunct w:val="0"/>
              <w:autoSpaceDE/>
              <w:autoSpaceDN/>
              <w:bidi w:val="0"/>
              <w:adjustRightInd/>
              <w:snapToGrid/>
              <w:spacing w:before="0" w:after="0" w:line="240" w:lineRule="auto"/>
              <w:ind w:left="0" w:right="0"/>
              <w:jc w:val="both"/>
              <w:textAlignment w:val="auto"/>
              <w:rPr>
                <w:rFonts w:hint="eastAsia" w:ascii="宋体" w:hAnsi="宋体" w:eastAsia="仿宋_GB2312" w:cs="宋体"/>
                <w:color w:val="000000"/>
                <w:kern w:val="2"/>
                <w:sz w:val="21"/>
                <w:szCs w:val="22"/>
                <w:lang w:val="en-US" w:eastAsia="zh-CN" w:bidi="ar-SA"/>
              </w:rPr>
            </w:pPr>
            <w:r>
              <w:rPr>
                <w:rFonts w:hint="eastAsia" w:ascii="宋体" w:hAnsi="宋体" w:eastAsia="仿宋_GB2312" w:cs="宋体"/>
                <w:color w:val="000000"/>
                <w:kern w:val="2"/>
                <w:sz w:val="21"/>
                <w:szCs w:val="22"/>
                <w:lang w:val="en-US" w:eastAsia="zh-CN" w:bidi="ar-SA"/>
              </w:rPr>
              <w:t>5.2.2.具有良好的语言、文字表达能力和沟通能力；</w:t>
            </w:r>
          </w:p>
          <w:p>
            <w:pPr>
              <w:pStyle w:val="12"/>
              <w:numPr>
                <w:ilvl w:val="0"/>
                <w:numId w:val="1"/>
              </w:numPr>
              <w:ind w:right="44" w:rightChars="20"/>
            </w:pPr>
            <w:r>
              <w:t xml:space="preserve">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Cs/>
                <w:sz w:val="28"/>
                <w:szCs w:val="28"/>
              </w:rPr>
            </w:pPr>
            <w:r>
              <w:rPr>
                <w:rFonts w:hint="eastAsia" w:ascii="宋体" w:hAnsi="宋体" w:eastAsia="仿宋_GB2312" w:cs="宋体"/>
                <w:color w:val="000000"/>
                <w:kern w:val="2"/>
                <w:sz w:val="21"/>
                <w:szCs w:val="22"/>
                <w:lang w:val="en-US" w:eastAsia="zh-CN" w:bidi="ar-SA"/>
              </w:rPr>
              <w:t xml:space="preserve">5.2.3.具有质量意识、环保意识、安全意识、信息素养、工匠精神和创新思维； </w:t>
            </w:r>
          </w:p>
          <w:p>
            <w:pPr>
              <w:pStyle w:val="12"/>
              <w:ind w:right="44" w:rightChars="20"/>
            </w:pPr>
            <w:r>
              <w:t xml:space="preserve"> </w:t>
            </w:r>
          </w:p>
        </w:tc>
      </w:tr>
    </w:tbl>
    <w:p>
      <w:pPr>
        <w:pStyle w:val="10"/>
        <w:spacing w:before="120" w:after="120"/>
      </w:pPr>
      <w:r>
        <w:rPr>
          <w:rFonts w:hint="eastAsia"/>
        </w:rPr>
        <w:t>三、</w:t>
      </w:r>
      <w:r>
        <w:t>教学内容及进度安排</w:t>
      </w:r>
      <w:r>
        <w:rPr>
          <w:rFonts w:ascii="宋体" w:hAnsi="宋体" w:eastAsia="宋体" w:cs="宋体"/>
        </w:rPr>
        <w:t xml:space="preserve"> </w:t>
      </w:r>
    </w:p>
    <w:tbl>
      <w:tblPr>
        <w:tblStyle w:val="8"/>
        <w:tblW w:w="10060" w:type="dxa"/>
        <w:jc w:val="center"/>
        <w:tblLayout w:type="autofit"/>
        <w:tblCellMar>
          <w:top w:w="79" w:type="dxa"/>
          <w:left w:w="107" w:type="dxa"/>
          <w:bottom w:w="0" w:type="dxa"/>
          <w:right w:w="81" w:type="dxa"/>
        </w:tblCellMar>
      </w:tblPr>
      <w:tblGrid>
        <w:gridCol w:w="653"/>
        <w:gridCol w:w="2592"/>
        <w:gridCol w:w="2294"/>
        <w:gridCol w:w="737"/>
        <w:gridCol w:w="1605"/>
        <w:gridCol w:w="2179"/>
      </w:tblGrid>
      <w:tr>
        <w:tblPrEx>
          <w:tblCellMar>
            <w:top w:w="79" w:type="dxa"/>
            <w:left w:w="107" w:type="dxa"/>
            <w:bottom w:w="0" w:type="dxa"/>
            <w:right w:w="81" w:type="dxa"/>
          </w:tblCellMar>
        </w:tblPrEx>
        <w:trPr>
          <w:trHeight w:val="64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序</w:t>
            </w:r>
          </w:p>
          <w:p>
            <w:pPr>
              <w:pStyle w:val="12"/>
              <w:jc w:val="center"/>
              <w:rPr>
                <w:b/>
              </w:rPr>
            </w:pPr>
            <w:r>
              <w:rPr>
                <w:b/>
              </w:rPr>
              <w:t>号</w:t>
            </w:r>
          </w:p>
        </w:tc>
        <w:tc>
          <w:tcPr>
            <w:tcW w:w="2592"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教学内容</w:t>
            </w:r>
          </w:p>
        </w:tc>
        <w:tc>
          <w:tcPr>
            <w:tcW w:w="2294"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学生学习预期成果</w:t>
            </w:r>
          </w:p>
        </w:tc>
        <w:tc>
          <w:tcPr>
            <w:tcW w:w="737"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sz w:val="18"/>
              </w:rPr>
              <w:t>课时</w:t>
            </w:r>
          </w:p>
        </w:tc>
        <w:tc>
          <w:tcPr>
            <w:tcW w:w="1605"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教学方式</w:t>
            </w:r>
          </w:p>
        </w:tc>
        <w:tc>
          <w:tcPr>
            <w:tcW w:w="2179"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支撑课程目标</w:t>
            </w:r>
          </w:p>
        </w:tc>
      </w:tr>
      <w:tr>
        <w:tblPrEx>
          <w:tblCellMar>
            <w:top w:w="79" w:type="dxa"/>
            <w:left w:w="107" w:type="dxa"/>
            <w:bottom w:w="0" w:type="dxa"/>
            <w:right w:w="81" w:type="dxa"/>
          </w:tblCellMar>
        </w:tblPrEx>
        <w:trPr>
          <w:trHeight w:val="3938"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 </w:t>
            </w:r>
          </w:p>
        </w:tc>
        <w:tc>
          <w:tcPr>
            <w:tcW w:w="2592" w:type="dxa"/>
            <w:tcBorders>
              <w:top w:val="single" w:color="000000" w:sz="4" w:space="0"/>
              <w:left w:val="single" w:color="000000" w:sz="4" w:space="0"/>
              <w:bottom w:val="single" w:color="000000" w:sz="4" w:space="0"/>
              <w:right w:val="single" w:color="000000" w:sz="4" w:space="0"/>
            </w:tcBorders>
          </w:tcPr>
          <w:p>
            <w:pPr>
              <w:pStyle w:val="12"/>
            </w:pPr>
            <w:r>
              <w:t>内容：</w:t>
            </w:r>
            <w:r>
              <w:rPr>
                <w:rFonts w:hint="eastAsia"/>
                <w:lang w:val="en-US" w:eastAsia="zh-CN"/>
              </w:rPr>
              <w:t>工程建设法律规范；工程建设法律关系、法律事实与法律责任；工程建设纠纷的处理</w:t>
            </w:r>
            <w:r>
              <w:t xml:space="preserve">。 </w:t>
            </w:r>
          </w:p>
          <w:p>
            <w:pPr>
              <w:pStyle w:val="12"/>
            </w:pPr>
            <w:r>
              <w:t>重点：</w:t>
            </w:r>
            <w:r>
              <w:rPr>
                <w:rFonts w:hint="eastAsia"/>
                <w:lang w:val="en-US" w:eastAsia="zh-CN"/>
              </w:rPr>
              <w:t>工程建设法律渊源；工程建设法律关系；工程建设纠纷的产生与解决方式</w:t>
            </w:r>
            <w:r>
              <w:t xml:space="preserve">。 </w:t>
            </w:r>
          </w:p>
          <w:p>
            <w:pPr>
              <w:pStyle w:val="12"/>
            </w:pPr>
            <w:r>
              <w:t>难点：</w:t>
            </w:r>
            <w:r>
              <w:rPr>
                <w:rFonts w:hint="eastAsia"/>
                <w:lang w:val="en-US" w:eastAsia="zh-CN"/>
              </w:rPr>
              <w:t>工程建设法律渊源；如何在实例中区分法律关系；工程建设纠纷的处理方式中的仲裁和诉讼</w:t>
            </w:r>
            <w:r>
              <w:t xml:space="preserve">。 </w:t>
            </w:r>
          </w:p>
          <w:p>
            <w:pPr>
              <w:pStyle w:val="12"/>
            </w:pPr>
            <w:r>
              <w:t xml:space="preserve"> </w:t>
            </w:r>
          </w:p>
        </w:tc>
        <w:tc>
          <w:tcPr>
            <w:tcW w:w="2294"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t>能用自己语言陈述</w:t>
            </w:r>
            <w:r>
              <w:rPr>
                <w:rFonts w:hint="eastAsia"/>
                <w:lang w:val="en-US" w:eastAsia="zh-CN"/>
              </w:rPr>
              <w:t>建设工程法的渊源、制定单位、法的效力层级、法律责任的一般构成要件；能在实际案例中指出法律关系三要素；能在教师的指导下指出实例中所犯的工程建设刑事法律责任；能阐述解决建设工程纠纷方式中的仲裁和诉讼的程序，以及仲裁的基本制度。</w:t>
            </w:r>
          </w:p>
          <w:p>
            <w:pPr>
              <w:pStyle w:val="12"/>
            </w:pP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4</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t>讲授为主，</w:t>
            </w:r>
            <w:r>
              <w:rPr>
                <w:rFonts w:hint="eastAsia"/>
                <w:lang w:val="en-US" w:eastAsia="zh-CN"/>
              </w:rPr>
              <w:t>讨论“南海仲裁案”有哪些是违反仲裁制度的情节？</w:t>
            </w:r>
          </w:p>
          <w:p>
            <w:pPr>
              <w:pStyle w:val="12"/>
            </w:pPr>
            <w:r>
              <w:t xml:space="preserve"> </w:t>
            </w:r>
          </w:p>
        </w:tc>
        <w:tc>
          <w:tcPr>
            <w:tcW w:w="2179" w:type="dxa"/>
            <w:tcBorders>
              <w:top w:val="single" w:color="000000" w:sz="4" w:space="0"/>
              <w:left w:val="single" w:color="000000" w:sz="4" w:space="0"/>
              <w:bottom w:val="single" w:color="000000" w:sz="4" w:space="0"/>
              <w:right w:val="single" w:color="000000" w:sz="4" w:space="0"/>
            </w:tcBorders>
          </w:tcPr>
          <w:p>
            <w:pPr>
              <w:pStyle w:val="12"/>
              <w:ind w:right="44" w:rightChars="20"/>
              <w:rPr>
                <w:rFonts w:hint="default" w:eastAsia="仿宋_GB2312"/>
                <w:lang w:val="en-US" w:eastAsia="zh-CN"/>
              </w:rPr>
            </w:pPr>
            <w:r>
              <w:rPr>
                <w:b w:val="0"/>
                <w:bCs/>
              </w:rPr>
              <w:t>目标1</w:t>
            </w:r>
            <w:r>
              <w:rPr>
                <w:rFonts w:hint="eastAsia"/>
                <w:b w:val="0"/>
                <w:bCs/>
              </w:rPr>
              <w:t>：</w:t>
            </w:r>
            <w:r>
              <w:rPr>
                <w:rFonts w:hint="eastAsia"/>
                <w:lang w:val="en-US" w:eastAsia="zh-CN"/>
              </w:rPr>
              <w:t>增强</w:t>
            </w:r>
            <w:r>
              <w:t>学生</w:t>
            </w:r>
            <w:r>
              <w:rPr>
                <w:rFonts w:hint="eastAsia"/>
                <w:lang w:val="en-US" w:eastAsia="zh-CN"/>
              </w:rPr>
              <w:t>的建设工程法律意识</w:t>
            </w:r>
            <w:r>
              <w:t>：</w:t>
            </w:r>
            <w:r>
              <w:rPr>
                <w:rFonts w:hint="eastAsia"/>
                <w:lang w:val="en-US" w:eastAsia="zh-CN"/>
              </w:rPr>
              <w:t>能够运用法律知识分析问题、解决问题；对建设工程中产生的基本民事法律关系进行分析、处理；具备分析违法行为承担法律责任的你能力。</w:t>
            </w:r>
          </w:p>
          <w:p>
            <w:pPr>
              <w:pStyle w:val="12"/>
            </w:pPr>
            <w:r>
              <w:t xml:space="preserve"> </w:t>
            </w:r>
          </w:p>
        </w:tc>
      </w:tr>
      <w:tr>
        <w:tblPrEx>
          <w:tblCellMar>
            <w:top w:w="81" w:type="dxa"/>
            <w:left w:w="108" w:type="dxa"/>
            <w:bottom w:w="0" w:type="dxa"/>
            <w:right w:w="81" w:type="dxa"/>
          </w:tblCellMar>
        </w:tblPrEx>
        <w:trPr>
          <w:trHeight w:val="3726"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2 </w:t>
            </w:r>
          </w:p>
        </w:tc>
        <w:tc>
          <w:tcPr>
            <w:tcW w:w="2592" w:type="dxa"/>
            <w:tcBorders>
              <w:top w:val="single" w:color="000000" w:sz="4" w:space="0"/>
              <w:left w:val="single" w:color="000000" w:sz="4" w:space="0"/>
              <w:bottom w:val="single" w:color="000000" w:sz="4" w:space="0"/>
              <w:right w:val="single" w:color="000000" w:sz="4" w:space="0"/>
            </w:tcBorders>
          </w:tcPr>
          <w:p>
            <w:pPr>
              <w:pStyle w:val="12"/>
            </w:pPr>
            <w:r>
              <w:t>内容：</w:t>
            </w:r>
            <w:r>
              <w:rPr>
                <w:rFonts w:hint="eastAsia"/>
                <w:lang w:val="en-US" w:eastAsia="zh-CN"/>
              </w:rPr>
              <w:t>建设行业从业单位资质管理规定；我国关于建筑工程基本建设程序以及施工许可的有关规定；我国目前建设行业从业人员执业资格许可制度及相应的资格考试管理规定。</w:t>
            </w:r>
            <w:r>
              <w:t xml:space="preserve"> </w:t>
            </w:r>
          </w:p>
          <w:p>
            <w:pPr>
              <w:pStyle w:val="12"/>
            </w:pPr>
            <w:r>
              <w:t>重点：</w:t>
            </w:r>
            <w:r>
              <w:rPr>
                <w:rFonts w:hint="eastAsia"/>
                <w:lang w:val="en-US" w:eastAsia="zh-CN"/>
              </w:rPr>
              <w:t>我国关于建筑工程基本建设程序以及施工许可的有关规定。</w:t>
            </w:r>
          </w:p>
          <w:p>
            <w:pPr>
              <w:pStyle w:val="12"/>
            </w:pPr>
            <w:r>
              <w:t>难点：</w:t>
            </w:r>
            <w:r>
              <w:rPr>
                <w:rFonts w:hint="eastAsia"/>
                <w:lang w:val="en-US" w:eastAsia="zh-CN"/>
              </w:rPr>
              <w:t>我国关于建筑工程基本建设程序；施工许可证的时间效力。</w:t>
            </w:r>
            <w:r>
              <w:t xml:space="preserve"> </w:t>
            </w:r>
          </w:p>
        </w:tc>
        <w:tc>
          <w:tcPr>
            <w:tcW w:w="2294"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能够列出我国建筑工程基本建设程序；学生能根据个人需要正确选择自己将来的执业资格；能够在实际工作中参与申请从业单位的资质</w:t>
            </w:r>
            <w:r>
              <w:t xml:space="preserve">。 </w:t>
            </w: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2</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讲授为主，讨论建设工程领域职称和执业资格的区别。</w:t>
            </w:r>
          </w:p>
        </w:tc>
        <w:tc>
          <w:tcPr>
            <w:tcW w:w="2179" w:type="dxa"/>
            <w:tcBorders>
              <w:top w:val="single" w:color="000000" w:sz="4" w:space="0"/>
              <w:left w:val="single" w:color="000000" w:sz="4" w:space="0"/>
              <w:bottom w:val="single" w:color="000000" w:sz="4" w:space="0"/>
              <w:right w:val="single" w:color="000000" w:sz="4" w:space="0"/>
            </w:tcBorders>
          </w:tcPr>
          <w:p>
            <w:pPr>
              <w:pStyle w:val="12"/>
            </w:pPr>
            <w:r>
              <w:rPr>
                <w:b w:val="0"/>
                <w:bCs/>
              </w:rPr>
              <w:t>目标2</w:t>
            </w:r>
            <w:r>
              <w:rPr>
                <w:rFonts w:hint="eastAsia"/>
              </w:rPr>
              <w:t>：</w:t>
            </w:r>
            <w:r>
              <w:t>培养学生的</w:t>
            </w:r>
            <w:r>
              <w:rPr>
                <w:rFonts w:hint="eastAsia"/>
                <w:lang w:val="en-US" w:eastAsia="zh-CN"/>
              </w:rPr>
              <w:t>运用相关规范的能力</w:t>
            </w:r>
            <w:r>
              <w:t>：</w:t>
            </w:r>
            <w:r>
              <w:rPr>
                <w:rFonts w:hint="eastAsia"/>
                <w:lang w:val="en-US" w:eastAsia="zh-CN"/>
              </w:rPr>
              <w:t>能够按照流程办理施工许可证；能够独立区分从业单位的资质等级；能够独立列出从业人员执业资格制度。</w:t>
            </w:r>
          </w:p>
        </w:tc>
      </w:tr>
      <w:tr>
        <w:tblPrEx>
          <w:tblCellMar>
            <w:top w:w="81" w:type="dxa"/>
            <w:left w:w="108" w:type="dxa"/>
            <w:bottom w:w="0" w:type="dxa"/>
            <w:right w:w="81" w:type="dxa"/>
          </w:tblCellMar>
        </w:tblPrEx>
        <w:trPr>
          <w:trHeight w:val="1751"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3 </w:t>
            </w:r>
          </w:p>
        </w:tc>
        <w:tc>
          <w:tcPr>
            <w:tcW w:w="2592" w:type="dxa"/>
            <w:tcBorders>
              <w:top w:val="single" w:color="000000" w:sz="4" w:space="0"/>
              <w:left w:val="single" w:color="000000" w:sz="4" w:space="0"/>
              <w:bottom w:val="single" w:color="000000" w:sz="4" w:space="0"/>
              <w:right w:val="single" w:color="000000" w:sz="4" w:space="0"/>
            </w:tcBorders>
          </w:tcPr>
          <w:p>
            <w:pPr>
              <w:pStyle w:val="12"/>
            </w:pPr>
            <w:r>
              <w:t>内容：</w:t>
            </w:r>
            <w:r>
              <w:rPr>
                <w:rFonts w:hint="eastAsia"/>
                <w:lang w:val="en-US" w:eastAsia="zh-CN"/>
              </w:rPr>
              <w:t>建设工程发包与承包的一般规定；联合承包制度；建设工程招标与投标的相关规定；工程开标、评标和定标的相关规定</w:t>
            </w:r>
            <w:r>
              <w:t xml:space="preserve">。 </w:t>
            </w:r>
          </w:p>
          <w:p>
            <w:pPr>
              <w:pStyle w:val="12"/>
              <w:rPr>
                <w:rFonts w:hint="default" w:eastAsia="仿宋_GB2312"/>
                <w:lang w:val="en-US" w:eastAsia="zh-CN"/>
              </w:rPr>
            </w:pPr>
            <w:r>
              <w:rPr>
                <w:rFonts w:hint="eastAsia"/>
                <w:lang w:val="en-US" w:eastAsia="zh-CN"/>
              </w:rPr>
              <w:t>重点：建设工程法律法规中发包与承包相关的禁止条款；招标与投标的基本流程。</w:t>
            </w:r>
          </w:p>
          <w:p>
            <w:pPr>
              <w:pStyle w:val="12"/>
            </w:pPr>
            <w:r>
              <w:t>难点：</w:t>
            </w:r>
            <w:r>
              <w:rPr>
                <w:rFonts w:hint="eastAsia"/>
                <w:lang w:val="en-US" w:eastAsia="zh-CN"/>
              </w:rPr>
              <w:t>招标与投标的基本流程</w:t>
            </w:r>
            <w:r>
              <w:t xml:space="preserve">。 </w:t>
            </w:r>
          </w:p>
        </w:tc>
        <w:tc>
          <w:tcPr>
            <w:tcW w:w="2294"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识别建设工程发包、承包的方式；能区分转包与分包的区别；能阐述联合承包的应注意的问题；能区分建设工程承包的行为规范；能在教师的指导下，陈述出招投标的基本流程以及建设工程招标投标实施的范围。</w:t>
            </w:r>
            <w:r>
              <w:t xml:space="preserve"> </w:t>
            </w: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4</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2"/>
            </w:pPr>
            <w:r>
              <w:t>课堂讲授为主；</w:t>
            </w:r>
            <w:r>
              <w:rPr>
                <w:rFonts w:hint="eastAsia"/>
                <w:lang w:val="en-US" w:eastAsia="zh-CN"/>
              </w:rPr>
              <w:t>讨论转包和分包的区别。</w:t>
            </w:r>
          </w:p>
        </w:tc>
        <w:tc>
          <w:tcPr>
            <w:tcW w:w="2179"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3</w:t>
            </w:r>
            <w:r>
              <w:rPr>
                <w:rFonts w:hint="eastAsia"/>
              </w:rPr>
              <w:t>：</w:t>
            </w:r>
            <w:r>
              <w:rPr>
                <w:rFonts w:hint="eastAsia"/>
                <w:lang w:val="en-US" w:eastAsia="zh-CN"/>
              </w:rPr>
              <w:t>培养</w:t>
            </w:r>
            <w:r>
              <w:t>学生</w:t>
            </w:r>
            <w:r>
              <w:rPr>
                <w:rFonts w:hint="eastAsia"/>
                <w:lang w:val="en-US" w:eastAsia="zh-CN"/>
              </w:rPr>
              <w:t>能根据建设工程发承包法律法规开展工程建设项目招标与投标工作；能够运用招标投标法的相关规定进行工程建设活动。</w:t>
            </w:r>
          </w:p>
        </w:tc>
      </w:tr>
      <w:tr>
        <w:tblPrEx>
          <w:tblCellMar>
            <w:top w:w="81" w:type="dxa"/>
            <w:left w:w="108" w:type="dxa"/>
            <w:bottom w:w="0" w:type="dxa"/>
            <w:right w:w="81" w:type="dxa"/>
          </w:tblCellMar>
        </w:tblPrEx>
        <w:trPr>
          <w:trHeight w:val="1893"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4 </w:t>
            </w:r>
          </w:p>
        </w:tc>
        <w:tc>
          <w:tcPr>
            <w:tcW w:w="2592" w:type="dxa"/>
            <w:tcBorders>
              <w:top w:val="single" w:color="000000" w:sz="4" w:space="0"/>
              <w:left w:val="single" w:color="000000" w:sz="4" w:space="0"/>
              <w:bottom w:val="single" w:color="000000" w:sz="4" w:space="0"/>
              <w:right w:val="single" w:color="000000" w:sz="4" w:space="0"/>
            </w:tcBorders>
          </w:tcPr>
          <w:p>
            <w:pPr>
              <w:pStyle w:val="12"/>
            </w:pPr>
            <w:r>
              <w:t>内容：</w:t>
            </w:r>
            <w:r>
              <w:rPr>
                <w:rFonts w:hint="eastAsia"/>
                <w:lang w:val="en-US" w:eastAsia="zh-CN"/>
              </w:rPr>
              <w:t>合同的分类；合同的订立；合同的效力；合同的履行；建设工程合同的违约与索赔</w:t>
            </w:r>
            <w:r>
              <w:t xml:space="preserve">。 </w:t>
            </w:r>
          </w:p>
          <w:p>
            <w:pPr>
              <w:pStyle w:val="12"/>
            </w:pPr>
            <w:r>
              <w:t>重点：</w:t>
            </w:r>
            <w:r>
              <w:rPr>
                <w:rFonts w:hint="eastAsia"/>
                <w:lang w:val="en-US" w:eastAsia="zh-CN"/>
              </w:rPr>
              <w:t>合同的效力；三种典型合同；合同的担保方式；合同的索赔</w:t>
            </w:r>
            <w:r>
              <w:rPr>
                <w:rFonts w:hint="eastAsia"/>
              </w:rPr>
              <w:t>。</w:t>
            </w:r>
            <w:r>
              <w:t xml:space="preserve"> </w:t>
            </w:r>
          </w:p>
          <w:p>
            <w:pPr>
              <w:pStyle w:val="12"/>
            </w:pPr>
            <w:r>
              <w:rPr>
                <w:rFonts w:hint="eastAsia"/>
              </w:rPr>
              <w:t>难点：</w:t>
            </w:r>
            <w:r>
              <w:rPr>
                <w:rFonts w:hint="eastAsia"/>
                <w:lang w:val="en-US" w:eastAsia="zh-CN"/>
              </w:rPr>
              <w:t>合同的成立；合同的索赔</w:t>
            </w:r>
            <w:r>
              <w:rPr>
                <w:rFonts w:hint="eastAsia"/>
              </w:rPr>
              <w:t>。</w:t>
            </w:r>
          </w:p>
        </w:tc>
        <w:tc>
          <w:tcPr>
            <w:tcW w:w="2294" w:type="dxa"/>
            <w:tcBorders>
              <w:top w:val="single" w:color="000000" w:sz="4" w:space="0"/>
              <w:left w:val="single" w:color="000000" w:sz="4" w:space="0"/>
              <w:bottom w:val="single" w:color="000000" w:sz="4" w:space="0"/>
              <w:right w:val="single" w:color="000000" w:sz="4" w:space="0"/>
            </w:tcBorders>
          </w:tcPr>
          <w:p>
            <w:pPr>
              <w:pStyle w:val="12"/>
              <w:rPr>
                <w:rFonts w:hint="default"/>
                <w:lang w:val="en-US"/>
              </w:rPr>
            </w:pPr>
            <w:r>
              <w:rPr>
                <w:rFonts w:hint="eastAsia"/>
                <w:lang w:val="en-US" w:eastAsia="zh-CN"/>
              </w:rPr>
              <w:t>能够指出建设工程合同在合同分类方式中属于哪一类；能够区分要约邀请、邀约、承诺在招投标活动中的运用；能够陈述三种典型合同；能够指出建设工程合同的担保方式；能简单区分不同情况下建设工程的索赔情况。</w:t>
            </w:r>
          </w:p>
        </w:tc>
        <w:tc>
          <w:tcPr>
            <w:tcW w:w="73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4</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2"/>
              <w:rPr>
                <w:rFonts w:hint="eastAsia" w:eastAsia="仿宋_GB2312"/>
                <w:lang w:eastAsia="zh-CN"/>
              </w:rPr>
            </w:pPr>
            <w:r>
              <w:t>讲授</w:t>
            </w:r>
            <w:r>
              <w:rPr>
                <w:rFonts w:hint="eastAsia"/>
                <w:lang w:val="en-US" w:eastAsia="zh-CN"/>
              </w:rPr>
              <w:t>为主，</w:t>
            </w:r>
            <w:r>
              <w:t>辅以</w:t>
            </w:r>
            <w:r>
              <w:rPr>
                <w:rFonts w:hint="eastAsia"/>
                <w:lang w:val="en-US" w:eastAsia="zh-CN"/>
              </w:rPr>
              <w:t>建设工程实际中的合同的</w:t>
            </w:r>
            <w:r>
              <w:t xml:space="preserve">教学案例 </w:t>
            </w:r>
          </w:p>
        </w:tc>
        <w:tc>
          <w:tcPr>
            <w:tcW w:w="2179"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目标4：</w:t>
            </w:r>
            <w:r>
              <w:t>培养学生</w:t>
            </w:r>
            <w:r>
              <w:rPr>
                <w:rFonts w:hint="eastAsia"/>
                <w:lang w:val="en-US" w:eastAsia="zh-CN"/>
              </w:rPr>
              <w:t>具备签订建设工程施工合同的能力；能够研读合同并进行条件分析；能够按照合同条款进行项目管理，避免违约事件的发生；发生合同违约行为后，能及时、准确地做出应对。</w:t>
            </w:r>
          </w:p>
        </w:tc>
      </w:tr>
      <w:tr>
        <w:tblPrEx>
          <w:tblCellMar>
            <w:top w:w="81" w:type="dxa"/>
            <w:left w:w="108" w:type="dxa"/>
            <w:bottom w:w="0" w:type="dxa"/>
            <w:right w:w="115" w:type="dxa"/>
          </w:tblCellMar>
        </w:tblPrEx>
        <w:trPr>
          <w:trHeight w:val="3452"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5 </w:t>
            </w:r>
          </w:p>
        </w:tc>
        <w:tc>
          <w:tcPr>
            <w:tcW w:w="2592" w:type="dxa"/>
            <w:tcBorders>
              <w:top w:val="single" w:color="000000" w:sz="4" w:space="0"/>
              <w:left w:val="single" w:color="000000" w:sz="4" w:space="0"/>
              <w:bottom w:val="single" w:color="000000" w:sz="4" w:space="0"/>
              <w:right w:val="single" w:color="000000" w:sz="4" w:space="0"/>
            </w:tcBorders>
          </w:tcPr>
          <w:p>
            <w:pPr>
              <w:pStyle w:val="12"/>
            </w:pPr>
            <w:r>
              <w:t>内容：</w:t>
            </w:r>
            <w:r>
              <w:rPr>
                <w:rFonts w:hint="eastAsia"/>
                <w:lang w:val="en-US" w:eastAsia="zh-CN"/>
              </w:rPr>
              <w:t>建筑安全生产管理方针；施工安全生产许可证制度；安全生产教育培训制度；施工安全事故应急救援与调查处理；各参建单位的安全责任制度</w:t>
            </w:r>
            <w:r>
              <w:t xml:space="preserve">。 </w:t>
            </w:r>
          </w:p>
          <w:p>
            <w:pPr>
              <w:pStyle w:val="12"/>
            </w:pPr>
            <w:r>
              <w:t>重点：</w:t>
            </w:r>
            <w:r>
              <w:rPr>
                <w:rFonts w:hint="eastAsia"/>
                <w:lang w:val="en-US" w:eastAsia="zh-CN"/>
              </w:rPr>
              <w:t>施工安全生产许可证制度；安全生产事故分类、上报、调查</w:t>
            </w:r>
            <w:r>
              <w:t xml:space="preserve">。 </w:t>
            </w:r>
          </w:p>
          <w:p>
            <w:pPr>
              <w:pStyle w:val="12"/>
            </w:pPr>
            <w:r>
              <w:t>难点：</w:t>
            </w:r>
            <w:r>
              <w:rPr>
                <w:rFonts w:hint="eastAsia"/>
                <w:lang w:val="en-US" w:eastAsia="zh-CN"/>
              </w:rPr>
              <w:t>各参建单位的安全生产制度</w:t>
            </w:r>
            <w:r>
              <w:t xml:space="preserve">。 </w:t>
            </w:r>
          </w:p>
        </w:tc>
        <w:tc>
          <w:tcPr>
            <w:tcW w:w="2294"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陈述我国安全生产管理方针；能列出哪些单位需要领取安全生产许可证；能准确说出三级安全教育、三类人员安全教育；能划分安全事故等级，并准确说出每级上报单位和调查单位；能区分各参建单位的安全生产责任</w:t>
            </w:r>
            <w:r>
              <w:t xml:space="preserve">。 </w:t>
            </w:r>
          </w:p>
        </w:tc>
        <w:tc>
          <w:tcPr>
            <w:tcW w:w="73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4</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2"/>
            </w:pPr>
            <w:r>
              <w:t>理论讲授为</w:t>
            </w:r>
          </w:p>
          <w:p>
            <w:pPr>
              <w:pStyle w:val="12"/>
            </w:pPr>
            <w:r>
              <w:t xml:space="preserve">主，辅之以教学案例 </w:t>
            </w:r>
          </w:p>
        </w:tc>
        <w:tc>
          <w:tcPr>
            <w:tcW w:w="2179"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5</w:t>
            </w:r>
            <w:r>
              <w:rPr>
                <w:rFonts w:hint="eastAsia"/>
                <w:lang w:eastAsia="zh-CN"/>
              </w:rPr>
              <w:t>：</w:t>
            </w:r>
            <w:r>
              <w:t>培养学生</w:t>
            </w:r>
            <w:r>
              <w:rPr>
                <w:rFonts w:hint="eastAsia"/>
                <w:lang w:val="en-US" w:eastAsia="zh-CN"/>
              </w:rPr>
              <w:t>安全生产的意识和“以人为本”的思想；具备较强的安全生产责任心；具备分析、判断危险标志的能力；具备施工现场事故上报的能力。</w:t>
            </w:r>
            <w:r>
              <w:t xml:space="preserve"> </w:t>
            </w:r>
          </w:p>
        </w:tc>
      </w:tr>
      <w:tr>
        <w:tblPrEx>
          <w:tblCellMar>
            <w:top w:w="81" w:type="dxa"/>
            <w:left w:w="108" w:type="dxa"/>
            <w:bottom w:w="0" w:type="dxa"/>
            <w:right w:w="115" w:type="dxa"/>
          </w:tblCellMar>
        </w:tblPrEx>
        <w:trPr>
          <w:trHeight w:val="4192"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2"/>
            </w:pPr>
            <w:r>
              <w:rPr>
                <w:rFonts w:eastAsia="宋体"/>
              </w:rPr>
              <w:t xml:space="preserve">6 </w:t>
            </w:r>
          </w:p>
        </w:tc>
        <w:tc>
          <w:tcPr>
            <w:tcW w:w="2592" w:type="dxa"/>
            <w:tcBorders>
              <w:top w:val="single" w:color="000000" w:sz="4" w:space="0"/>
              <w:left w:val="single" w:color="000000" w:sz="4" w:space="0"/>
              <w:bottom w:val="single" w:color="000000" w:sz="4" w:space="0"/>
              <w:right w:val="single" w:color="000000" w:sz="4" w:space="0"/>
            </w:tcBorders>
          </w:tcPr>
          <w:p>
            <w:pPr>
              <w:pStyle w:val="12"/>
            </w:pPr>
            <w:r>
              <w:t>内容：</w:t>
            </w:r>
            <w:r>
              <w:rPr>
                <w:rFonts w:hint="eastAsia"/>
                <w:lang w:val="en-US" w:eastAsia="zh-CN"/>
              </w:rPr>
              <w:t>工程建设标准；各参建单位质量责任和义务；竣工验收制度；建设工程质量保修制度</w:t>
            </w:r>
            <w:r>
              <w:t xml:space="preserve">。 </w:t>
            </w:r>
          </w:p>
          <w:p>
            <w:pPr>
              <w:pStyle w:val="12"/>
            </w:pPr>
            <w:r>
              <w:t>重点：</w:t>
            </w:r>
            <w:r>
              <w:rPr>
                <w:rFonts w:hint="eastAsia"/>
                <w:lang w:val="en-US" w:eastAsia="zh-CN"/>
              </w:rPr>
              <w:t>建设工程标准分类；施工单位的质量责任；竣工验收的基本流程</w:t>
            </w:r>
            <w:r>
              <w:t xml:space="preserve">。 </w:t>
            </w:r>
          </w:p>
          <w:p>
            <w:pPr>
              <w:pStyle w:val="12"/>
            </w:pPr>
            <w:r>
              <w:t>难点：</w:t>
            </w:r>
            <w:r>
              <w:rPr>
                <w:rFonts w:hint="eastAsia"/>
                <w:lang w:val="en-US" w:eastAsia="zh-CN"/>
              </w:rPr>
              <w:t>不同情况下的区分质量责任</w:t>
            </w:r>
          </w:p>
        </w:tc>
        <w:tc>
          <w:tcPr>
            <w:tcW w:w="2294"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能正确区分工程建设的标准；能在教师指导下判断各参建单位的质量责任和义务；结合工程实际，分析质量验收过程中违反相关规定的情况；能够指出竣工验收的主体；</w:t>
            </w: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4</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2"/>
            </w:pPr>
            <w:r>
              <w:t>理论讲授为</w:t>
            </w:r>
          </w:p>
          <w:p>
            <w:pPr>
              <w:pStyle w:val="12"/>
            </w:pPr>
            <w:r>
              <w:t xml:space="preserve">主，辅之以教学案例 </w:t>
            </w:r>
          </w:p>
        </w:tc>
        <w:tc>
          <w:tcPr>
            <w:tcW w:w="2179"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6</w:t>
            </w:r>
            <w:r>
              <w:rPr>
                <w:rFonts w:hint="eastAsia"/>
                <w:lang w:eastAsia="zh-CN"/>
              </w:rPr>
              <w:t>：</w:t>
            </w:r>
            <w:r>
              <w:t>培养学生</w:t>
            </w:r>
            <w:r>
              <w:rPr>
                <w:rFonts w:hint="eastAsia"/>
                <w:lang w:val="en-US" w:eastAsia="zh-CN"/>
              </w:rPr>
              <w:t>学生在实际工作中的工程质量意识；提高工程质量管理水平；能够熟练识别建设行为各方主体质量责任和义务的具体规定。</w:t>
            </w:r>
          </w:p>
        </w:tc>
      </w:tr>
    </w:tbl>
    <w:p>
      <w:pPr>
        <w:spacing w:before="120" w:beforeLines="50" w:after="10" w:line="271" w:lineRule="auto"/>
        <w:rPr>
          <w:rFonts w:hint="eastAsia" w:ascii="仿宋_GB2312" w:eastAsia="仿宋_GB2312"/>
          <w:sz w:val="24"/>
          <w:szCs w:val="24"/>
        </w:rPr>
      </w:pPr>
      <w:bookmarkStart w:id="0" w:name="_GoBack"/>
      <w:bookmarkEnd w:id="0"/>
      <w:r>
        <w:rPr>
          <w:rFonts w:hint="eastAsia" w:ascii="仿宋_GB2312" w:hAnsi="宋体" w:eastAsia="仿宋_GB2312" w:cs="宋体"/>
          <w:sz w:val="24"/>
          <w:szCs w:val="24"/>
        </w:rPr>
        <w:t xml:space="preserve">注：“学生学习预期成果”是描述学生在学完本课程后应具有的能力，可以用认知、理解、应用、分析、综合、判断等描述预期成果达到的程度。 </w:t>
      </w:r>
    </w:p>
    <w:p>
      <w:pPr>
        <w:spacing w:after="0"/>
      </w:pPr>
      <w:r>
        <w:rPr>
          <w:rFonts w:ascii="黑体" w:hAnsi="黑体" w:eastAsia="黑体" w:cs="黑体"/>
          <w:sz w:val="24"/>
        </w:rPr>
        <w:t xml:space="preserve"> </w:t>
      </w:r>
    </w:p>
    <w:p>
      <w:pPr>
        <w:spacing w:after="0"/>
      </w:pPr>
      <w:r>
        <w:rPr>
          <w:rFonts w:ascii="黑体" w:hAnsi="黑体" w:eastAsia="黑体" w:cs="黑体"/>
          <w:sz w:val="24"/>
        </w:rPr>
        <w:t xml:space="preserve"> </w:t>
      </w:r>
    </w:p>
    <w:p>
      <w:pPr>
        <w:spacing w:after="0" w:line="246" w:lineRule="auto"/>
        <w:ind w:right="8648"/>
      </w:pPr>
      <w:r>
        <w:rPr>
          <w:rFonts w:ascii="黑体" w:hAnsi="黑体" w:eastAsia="黑体" w:cs="黑体"/>
          <w:sz w:val="24"/>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pStyle w:val="10"/>
        <w:spacing w:before="120" w:after="120"/>
      </w:pPr>
      <w:r>
        <w:rPr>
          <w:rFonts w:hint="eastAsia"/>
        </w:rPr>
        <w:t>四、</w:t>
      </w:r>
      <w:r>
        <w:t xml:space="preserve">课程考核 </w:t>
      </w:r>
    </w:p>
    <w:p>
      <w:pPr>
        <w:spacing w:after="0"/>
        <w:ind w:left="-1800" w:right="682"/>
      </w:pPr>
    </w:p>
    <w:tbl>
      <w:tblPr>
        <w:tblStyle w:val="8"/>
        <w:tblW w:w="9639" w:type="dxa"/>
        <w:jc w:val="center"/>
        <w:tblLayout w:type="autofit"/>
        <w:tblCellMar>
          <w:top w:w="28" w:type="dxa"/>
          <w:left w:w="108" w:type="dxa"/>
          <w:bottom w:w="0" w:type="dxa"/>
          <w:right w:w="90" w:type="dxa"/>
        </w:tblCellMar>
      </w:tblPr>
      <w:tblGrid>
        <w:gridCol w:w="799"/>
        <w:gridCol w:w="6142"/>
        <w:gridCol w:w="992"/>
        <w:gridCol w:w="851"/>
        <w:gridCol w:w="855"/>
      </w:tblGrid>
      <w:tr>
        <w:tblPrEx>
          <w:tblCellMar>
            <w:top w:w="28" w:type="dxa"/>
            <w:left w:w="108" w:type="dxa"/>
            <w:bottom w:w="0" w:type="dxa"/>
            <w:right w:w="90" w:type="dxa"/>
          </w:tblCellMar>
        </w:tblPrEx>
        <w:trPr>
          <w:trHeight w:val="468" w:hRule="atLeast"/>
          <w:jc w:val="center"/>
        </w:trPr>
        <w:tc>
          <w:tcPr>
            <w:tcW w:w="799"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2"/>
              <w:jc w:val="center"/>
              <w:rPr>
                <w:b/>
              </w:rPr>
            </w:pPr>
            <w:r>
              <w:rPr>
                <w:b/>
              </w:rPr>
              <w:t>序</w:t>
            </w:r>
          </w:p>
          <w:p>
            <w:pPr>
              <w:pStyle w:val="12"/>
              <w:jc w:val="center"/>
              <w:rPr>
                <w:b/>
              </w:rPr>
            </w:pPr>
            <w:r>
              <w:rPr>
                <w:b/>
              </w:rPr>
              <w:t>号</w:t>
            </w:r>
          </w:p>
        </w:tc>
        <w:tc>
          <w:tcPr>
            <w:tcW w:w="6142"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2"/>
              <w:jc w:val="center"/>
              <w:rPr>
                <w:b/>
              </w:rPr>
            </w:pPr>
            <w:r>
              <w:rPr>
                <w:b/>
              </w:rPr>
              <w:t>课程目标（支撑毕业要求指标点）</w:t>
            </w:r>
          </w:p>
        </w:tc>
        <w:tc>
          <w:tcPr>
            <w:tcW w:w="1843" w:type="dxa"/>
            <w:gridSpan w:val="2"/>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评价依据及成绩比例</w:t>
            </w:r>
          </w:p>
        </w:tc>
        <w:tc>
          <w:tcPr>
            <w:tcW w:w="855"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2"/>
              <w:jc w:val="center"/>
              <w:rPr>
                <w:b/>
              </w:rPr>
            </w:pPr>
            <w:r>
              <w:rPr>
                <w:b/>
              </w:rPr>
              <w:t>成绩比例(%)</w:t>
            </w:r>
          </w:p>
        </w:tc>
      </w:tr>
      <w:tr>
        <w:tblPrEx>
          <w:tblCellMar>
            <w:top w:w="28" w:type="dxa"/>
            <w:left w:w="108" w:type="dxa"/>
            <w:bottom w:w="0" w:type="dxa"/>
            <w:right w:w="90" w:type="dxa"/>
          </w:tblCellMar>
        </w:tblPrEx>
        <w:trPr>
          <w:trHeight w:val="42" w:hRule="atLeast"/>
          <w:jc w:val="center"/>
        </w:trPr>
        <w:tc>
          <w:tcPr>
            <w:tcW w:w="0" w:type="auto"/>
            <w:vMerge w:val="continue"/>
            <w:tcBorders>
              <w:left w:val="single" w:color="000000" w:sz="4" w:space="0"/>
              <w:bottom w:val="single" w:color="000000" w:sz="4" w:space="0"/>
              <w:right w:val="single" w:color="000000" w:sz="4" w:space="0"/>
            </w:tcBorders>
          </w:tcPr>
          <w:p>
            <w:pPr>
              <w:pStyle w:val="12"/>
              <w:rPr>
                <w:b/>
              </w:rPr>
            </w:pPr>
          </w:p>
        </w:tc>
        <w:tc>
          <w:tcPr>
            <w:tcW w:w="6142" w:type="dxa"/>
            <w:vMerge w:val="continue"/>
            <w:tcBorders>
              <w:left w:val="single" w:color="000000" w:sz="4" w:space="0"/>
              <w:bottom w:val="single" w:color="000000" w:sz="4" w:space="0"/>
              <w:right w:val="single" w:color="000000" w:sz="4" w:space="0"/>
            </w:tcBorders>
          </w:tcPr>
          <w:p>
            <w:pPr>
              <w:pStyle w:val="12"/>
              <w:rPr>
                <w:b/>
              </w:rPr>
            </w:pPr>
          </w:p>
        </w:tc>
        <w:tc>
          <w:tcPr>
            <w:tcW w:w="992"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作业</w:t>
            </w:r>
          </w:p>
        </w:tc>
        <w:tc>
          <w:tcPr>
            <w:tcW w:w="85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考试</w:t>
            </w:r>
          </w:p>
        </w:tc>
        <w:tc>
          <w:tcPr>
            <w:tcW w:w="855" w:type="dxa"/>
            <w:vMerge w:val="continue"/>
            <w:tcBorders>
              <w:left w:val="single" w:color="000000" w:sz="4" w:space="0"/>
              <w:bottom w:val="single" w:color="000000" w:sz="4" w:space="0"/>
              <w:right w:val="single" w:color="000000" w:sz="4" w:space="0"/>
            </w:tcBorders>
          </w:tcPr>
          <w:p>
            <w:pPr>
              <w:pStyle w:val="12"/>
            </w:pPr>
          </w:p>
        </w:tc>
      </w:tr>
      <w:tr>
        <w:tblPrEx>
          <w:tblCellMar>
            <w:top w:w="28" w:type="dxa"/>
            <w:left w:w="108" w:type="dxa"/>
            <w:bottom w:w="0" w:type="dxa"/>
            <w:right w:w="90" w:type="dxa"/>
          </w:tblCellMar>
        </w:tblPrEx>
        <w:trPr>
          <w:trHeight w:val="1273"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 </w:t>
            </w:r>
          </w:p>
        </w:tc>
        <w:tc>
          <w:tcPr>
            <w:tcW w:w="6142" w:type="dxa"/>
            <w:tcBorders>
              <w:top w:val="single" w:color="000000" w:sz="4" w:space="0"/>
              <w:left w:val="single" w:color="000000" w:sz="4" w:space="0"/>
              <w:bottom w:val="single" w:color="000000" w:sz="4" w:space="0"/>
              <w:right w:val="single" w:color="000000" w:sz="4" w:space="0"/>
            </w:tcBorders>
          </w:tcPr>
          <w:p>
            <w:pPr>
              <w:pStyle w:val="12"/>
              <w:ind w:right="44" w:rightChars="20"/>
            </w:pPr>
            <w:r>
              <w:rPr>
                <w:b w:val="0"/>
                <w:bCs/>
              </w:rPr>
              <w:t>目标1</w:t>
            </w:r>
            <w:r>
              <w:rPr>
                <w:rFonts w:hint="eastAsia"/>
                <w:b w:val="0"/>
                <w:bCs/>
              </w:rPr>
              <w:t>：</w:t>
            </w:r>
            <w:r>
              <w:rPr>
                <w:rFonts w:hint="eastAsia"/>
                <w:lang w:val="en-US" w:eastAsia="zh-CN"/>
              </w:rPr>
              <w:t>增强</w:t>
            </w:r>
            <w:r>
              <w:t>学生</w:t>
            </w:r>
            <w:r>
              <w:rPr>
                <w:rFonts w:hint="eastAsia"/>
                <w:lang w:val="en-US" w:eastAsia="zh-CN"/>
              </w:rPr>
              <w:t>的建设工程法律意识</w:t>
            </w:r>
            <w:r>
              <w:t>：</w:t>
            </w:r>
            <w:r>
              <w:rPr>
                <w:rFonts w:hint="eastAsia"/>
                <w:lang w:val="en-US" w:eastAsia="zh-CN"/>
              </w:rPr>
              <w:t>能够运用法律知识分析问题、解决问题；对建设工程中产生的基本民事法律关系进行分析、处理；具备分析违法行为承担法律责任的你能力。</w:t>
            </w:r>
            <w:r>
              <w:t>（支撑毕业要求指标点</w:t>
            </w:r>
            <w:r>
              <w:rPr>
                <w:rFonts w:hint="eastAsia" w:ascii="宋体" w:hAnsi="宋体" w:eastAsia="仿宋_GB2312" w:cs="宋体"/>
                <w:color w:val="000000"/>
                <w:kern w:val="2"/>
                <w:sz w:val="21"/>
                <w:szCs w:val="22"/>
                <w:lang w:val="en-US" w:eastAsia="zh-CN" w:bidi="ar-SA"/>
              </w:rPr>
              <w:t>5.1.2</w:t>
            </w:r>
            <w: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t xml:space="preserve"> </w:t>
            </w:r>
            <w:r>
              <w:rPr>
                <w:rFonts w:hint="eastAsia"/>
                <w:lang w:val="en-US" w:eastAsia="zh-CN"/>
              </w:rPr>
              <w:t>10</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15</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lang w:val="en-US"/>
              </w:rPr>
            </w:pPr>
            <w:r>
              <w:rPr>
                <w:rFonts w:hint="eastAsia"/>
                <w:lang w:val="en-US" w:eastAsia="zh-CN"/>
              </w:rPr>
              <w:t>25</w:t>
            </w:r>
          </w:p>
        </w:tc>
      </w:tr>
      <w:tr>
        <w:tblPrEx>
          <w:tblCellMar>
            <w:top w:w="28" w:type="dxa"/>
            <w:left w:w="108" w:type="dxa"/>
            <w:bottom w:w="0" w:type="dxa"/>
            <w:right w:w="90" w:type="dxa"/>
          </w:tblCellMar>
        </w:tblPrEx>
        <w:trPr>
          <w:trHeight w:val="1236"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2 </w:t>
            </w:r>
          </w:p>
        </w:tc>
        <w:tc>
          <w:tcPr>
            <w:tcW w:w="6142" w:type="dxa"/>
            <w:tcBorders>
              <w:top w:val="single" w:color="000000" w:sz="4" w:space="0"/>
              <w:left w:val="single" w:color="000000" w:sz="4" w:space="0"/>
              <w:bottom w:val="single" w:color="000000" w:sz="4" w:space="0"/>
              <w:right w:val="single" w:color="000000" w:sz="4" w:space="0"/>
            </w:tcBorders>
          </w:tcPr>
          <w:p>
            <w:pPr>
              <w:pStyle w:val="12"/>
            </w:pPr>
            <w:r>
              <w:rPr>
                <w:b w:val="0"/>
                <w:bCs/>
              </w:rPr>
              <w:t>目标2</w:t>
            </w:r>
            <w:r>
              <w:rPr>
                <w:rFonts w:hint="eastAsia"/>
              </w:rPr>
              <w:t>：</w:t>
            </w:r>
            <w:r>
              <w:t>培养学生的</w:t>
            </w:r>
            <w:r>
              <w:rPr>
                <w:rFonts w:hint="eastAsia"/>
                <w:lang w:val="en-US" w:eastAsia="zh-CN"/>
              </w:rPr>
              <w:t>运用相关规范的能力</w:t>
            </w:r>
            <w:r>
              <w:t>：</w:t>
            </w:r>
            <w:r>
              <w:rPr>
                <w:rFonts w:hint="eastAsia"/>
                <w:lang w:val="en-US" w:eastAsia="zh-CN"/>
              </w:rPr>
              <w:t>能够按照流程办理施工许可证；能够独立区分从业单位的资质等级；能够独立列出从业人员执业资格制度。</w:t>
            </w:r>
            <w:r>
              <w:t>（支撑毕业要求指标点</w:t>
            </w:r>
            <w:r>
              <w:rPr>
                <w:rFonts w:hint="eastAsia" w:ascii="宋体" w:hAnsi="宋体" w:eastAsia="仿宋_GB2312" w:cs="宋体"/>
                <w:color w:val="000000"/>
                <w:kern w:val="2"/>
                <w:sz w:val="21"/>
                <w:szCs w:val="22"/>
                <w:lang w:val="en-US" w:eastAsia="zh-CN" w:bidi="ar-SA"/>
              </w:rPr>
              <w:t>5.1.2</w:t>
            </w:r>
            <w: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10 </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10 </w:t>
            </w:r>
          </w:p>
        </w:tc>
      </w:tr>
      <w:tr>
        <w:tblPrEx>
          <w:tblCellMar>
            <w:top w:w="28" w:type="dxa"/>
            <w:left w:w="108" w:type="dxa"/>
            <w:bottom w:w="0" w:type="dxa"/>
            <w:right w:w="90" w:type="dxa"/>
          </w:tblCellMar>
        </w:tblPrEx>
        <w:trPr>
          <w:trHeight w:val="1040"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3 </w:t>
            </w:r>
          </w:p>
        </w:tc>
        <w:tc>
          <w:tcPr>
            <w:tcW w:w="6142"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3</w:t>
            </w:r>
            <w:r>
              <w:rPr>
                <w:rFonts w:hint="eastAsia"/>
              </w:rPr>
              <w:t>：</w:t>
            </w:r>
            <w:r>
              <w:rPr>
                <w:rFonts w:hint="eastAsia"/>
                <w:lang w:val="en-US" w:eastAsia="zh-CN"/>
              </w:rPr>
              <w:t>培养</w:t>
            </w:r>
            <w:r>
              <w:t>学生</w:t>
            </w:r>
            <w:r>
              <w:rPr>
                <w:rFonts w:hint="eastAsia"/>
                <w:lang w:val="en-US" w:eastAsia="zh-CN"/>
              </w:rPr>
              <w:t>能根据建设工程发承包法律法规开展工程建设项目招标与投标工作；能够运用招标投标法的相关规定进行工程建设活动。</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5.1.9</w:t>
            </w:r>
            <w: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10</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10</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20</w:t>
            </w:r>
          </w:p>
        </w:tc>
      </w:tr>
      <w:tr>
        <w:tblPrEx>
          <w:tblCellMar>
            <w:top w:w="28" w:type="dxa"/>
            <w:left w:w="108" w:type="dxa"/>
            <w:bottom w:w="0" w:type="dxa"/>
            <w:right w:w="90" w:type="dxa"/>
          </w:tblCellMar>
        </w:tblPrEx>
        <w:trPr>
          <w:trHeight w:val="1243"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4 </w:t>
            </w:r>
          </w:p>
        </w:tc>
        <w:tc>
          <w:tcPr>
            <w:tcW w:w="6142"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目标4：</w:t>
            </w:r>
            <w:r>
              <w:t>培养学生</w:t>
            </w:r>
            <w:r>
              <w:rPr>
                <w:rFonts w:hint="eastAsia"/>
                <w:lang w:val="en-US" w:eastAsia="zh-CN"/>
              </w:rPr>
              <w:t>具备签订建设工程施工合同的能力；能够研读合同并进行条件分析；能够按照合同条款进行项目管理，避免违约事件的发生；发生合同违约行为后，能及时、准确地做出应对。</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5.1.9</w:t>
            </w:r>
            <w: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20</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20</w:t>
            </w:r>
          </w:p>
        </w:tc>
      </w:tr>
      <w:tr>
        <w:tblPrEx>
          <w:tblCellMar>
            <w:top w:w="28" w:type="dxa"/>
            <w:left w:w="108" w:type="dxa"/>
            <w:bottom w:w="0" w:type="dxa"/>
            <w:right w:w="90" w:type="dxa"/>
          </w:tblCellMar>
        </w:tblPrEx>
        <w:trPr>
          <w:trHeight w:val="1222"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5 </w:t>
            </w:r>
          </w:p>
        </w:tc>
        <w:tc>
          <w:tcPr>
            <w:tcW w:w="6142"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5</w:t>
            </w:r>
            <w:r>
              <w:rPr>
                <w:rFonts w:hint="eastAsia"/>
                <w:lang w:eastAsia="zh-CN"/>
              </w:rPr>
              <w:t>：</w:t>
            </w:r>
            <w:r>
              <w:t>培养学生</w:t>
            </w:r>
            <w:r>
              <w:rPr>
                <w:rFonts w:hint="eastAsia"/>
                <w:lang w:val="en-US" w:eastAsia="zh-CN"/>
              </w:rPr>
              <w:t>安全生产的意识和“以人为本”的思想；具备较强的安全生产责任心；具备分析、判断危险标志的能力；具备施工现场事故上报的能力。</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w:t>
            </w:r>
            <w:r>
              <w:rPr>
                <w:rFonts w:hint="eastAsia" w:cs="宋体"/>
                <w:color w:val="000000"/>
                <w:kern w:val="2"/>
                <w:sz w:val="21"/>
                <w:szCs w:val="22"/>
                <w:lang w:val="en-US" w:eastAsia="zh-CN" w:bidi="ar-SA"/>
              </w:rPr>
              <w:t>7</w:t>
            </w:r>
            <w: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rPr>
                <w:rFonts w:hint="eastAsia" w:eastAsia="仿宋_GB2312"/>
                <w:lang w:val="en-US"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15</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15</w:t>
            </w:r>
            <w:r>
              <w:t xml:space="preserve"> </w:t>
            </w:r>
          </w:p>
        </w:tc>
      </w:tr>
      <w:tr>
        <w:tblPrEx>
          <w:tblCellMar>
            <w:top w:w="28" w:type="dxa"/>
            <w:left w:w="108" w:type="dxa"/>
            <w:bottom w:w="0" w:type="dxa"/>
            <w:right w:w="90" w:type="dxa"/>
          </w:tblCellMar>
        </w:tblPrEx>
        <w:trPr>
          <w:trHeight w:val="1052"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6 </w:t>
            </w:r>
          </w:p>
        </w:tc>
        <w:tc>
          <w:tcPr>
            <w:tcW w:w="6142"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6</w:t>
            </w:r>
            <w:r>
              <w:rPr>
                <w:rFonts w:hint="eastAsia"/>
                <w:lang w:eastAsia="zh-CN"/>
              </w:rPr>
              <w:t>：</w:t>
            </w:r>
            <w:r>
              <w:t>培养学生</w:t>
            </w:r>
            <w:r>
              <w:rPr>
                <w:rFonts w:hint="eastAsia"/>
                <w:lang w:val="en-US" w:eastAsia="zh-CN"/>
              </w:rPr>
              <w:t>学生在实际工作中的工程质量意识；提高工程质量管理水平；能够熟练识别建设行为各方主体质量责任和义务的具体规定。</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w:t>
            </w:r>
            <w:r>
              <w:rPr>
                <w:rFonts w:hint="eastAsia" w:cs="宋体"/>
                <w:color w:val="000000"/>
                <w:kern w:val="2"/>
                <w:sz w:val="21"/>
                <w:szCs w:val="22"/>
                <w:lang w:val="en-US" w:eastAsia="zh-CN" w:bidi="ar-SA"/>
              </w:rPr>
              <w:t>7</w:t>
            </w:r>
            <w: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10</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10</w:t>
            </w:r>
            <w:r>
              <w:t xml:space="preserve"> </w:t>
            </w:r>
          </w:p>
        </w:tc>
      </w:tr>
      <w:tr>
        <w:tblPrEx>
          <w:tblCellMar>
            <w:top w:w="28" w:type="dxa"/>
            <w:left w:w="108" w:type="dxa"/>
            <w:bottom w:w="0" w:type="dxa"/>
            <w:right w:w="90" w:type="dxa"/>
          </w:tblCellMar>
        </w:tblPrEx>
        <w:trPr>
          <w:trHeight w:val="717" w:hRule="atLeast"/>
          <w:jc w:val="center"/>
        </w:trPr>
        <w:tc>
          <w:tcPr>
            <w:tcW w:w="6941" w:type="dxa"/>
            <w:gridSpan w:val="2"/>
            <w:tcBorders>
              <w:top w:val="single" w:color="000000" w:sz="4" w:space="0"/>
              <w:left w:val="single" w:color="000000" w:sz="4" w:space="0"/>
              <w:bottom w:val="single" w:color="000000" w:sz="4" w:space="0"/>
              <w:right w:val="single" w:color="000000" w:sz="4" w:space="0"/>
            </w:tcBorders>
            <w:vAlign w:val="center"/>
          </w:tcPr>
          <w:p>
            <w:pPr>
              <w:pStyle w:val="12"/>
            </w:pPr>
            <w:r>
              <w:t xml:space="preserve">合计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20</w:t>
            </w:r>
            <w:r>
              <w:t xml:space="preserve"> </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80</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100 </w:t>
            </w:r>
          </w:p>
        </w:tc>
      </w:tr>
    </w:tbl>
    <w:p>
      <w:pPr>
        <w:spacing w:after="0"/>
      </w:pPr>
      <w:r>
        <w:rPr>
          <w:rFonts w:ascii="宋体" w:hAnsi="宋体" w:eastAsia="宋体" w:cs="宋体"/>
          <w:sz w:val="28"/>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pStyle w:val="10"/>
        <w:spacing w:before="120" w:after="120"/>
      </w:pPr>
      <w:r>
        <w:rPr>
          <w:rFonts w:hint="eastAsia"/>
        </w:rPr>
        <w:t>五、</w:t>
      </w:r>
      <w:r>
        <w:t>教材及参考资料</w:t>
      </w:r>
      <w:r>
        <w:rPr>
          <w:rFonts w:ascii="宋体" w:hAnsi="宋体" w:eastAsia="宋体" w:cs="宋体"/>
        </w:rPr>
        <w:t xml:space="preserve"> </w:t>
      </w:r>
    </w:p>
    <w:p>
      <w:pPr>
        <w:spacing w:after="0" w:line="520" w:lineRule="exact"/>
        <w:ind w:firstLine="560" w:firstLineChars="200"/>
        <w:rPr>
          <w:rFonts w:hint="eastAsia" w:ascii="仿宋_GB2312" w:eastAsia="仿宋_GB2312"/>
          <w:sz w:val="28"/>
          <w:szCs w:val="28"/>
        </w:rPr>
      </w:pPr>
      <w:r>
        <w:rPr>
          <w:rFonts w:hint="eastAsia" w:ascii="仿宋_GB2312" w:hAnsi="宋体" w:eastAsia="仿宋_GB2312" w:cs="宋体"/>
          <w:sz w:val="28"/>
          <w:szCs w:val="28"/>
        </w:rPr>
        <w:t xml:space="preserve">(必含信息：教材名称，作者，出版社，出版年度，版次，书号) </w:t>
      </w:r>
    </w:p>
    <w:p>
      <w:pPr>
        <w:spacing w:after="0" w:line="520" w:lineRule="exact"/>
        <w:ind w:firstLine="560" w:firstLineChars="200"/>
        <w:rPr>
          <w:rFonts w:hint="eastAsia" w:ascii="仿宋_GB2312" w:eastAsia="仿宋_GB2312"/>
          <w:sz w:val="28"/>
          <w:szCs w:val="28"/>
        </w:rPr>
      </w:pPr>
      <w:r>
        <w:rPr>
          <w:rFonts w:hint="eastAsia" w:ascii="仿宋_GB2312" w:hAnsi="宋体" w:eastAsia="仿宋_GB2312" w:cs="宋体"/>
          <w:sz w:val="28"/>
          <w:szCs w:val="28"/>
        </w:rPr>
        <w:t>1.《</w:t>
      </w:r>
      <w:r>
        <w:rPr>
          <w:rFonts w:hint="eastAsia" w:ascii="仿宋_GB2312" w:hAnsi="宋体" w:eastAsia="仿宋_GB2312" w:cs="宋体"/>
          <w:sz w:val="28"/>
          <w:szCs w:val="28"/>
          <w:lang w:val="en-US" w:eastAsia="zh-CN"/>
        </w:rPr>
        <w:t>建设工程法规</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陈辉玲，中南大学出版社</w:t>
      </w:r>
      <w:r>
        <w:rPr>
          <w:rFonts w:hint="eastAsia" w:ascii="仿宋_GB2312" w:hAnsi="宋体" w:eastAsia="仿宋_GB2312" w:cs="宋体"/>
          <w:sz w:val="28"/>
          <w:szCs w:val="28"/>
        </w:rPr>
        <w:t>，201</w:t>
      </w: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，第一版，</w:t>
      </w:r>
      <w:r>
        <w:rPr>
          <w:rFonts w:hint="eastAsia" w:ascii="仿宋_GB2312" w:hAnsi="Times New Roman" w:eastAsia="仿宋_GB2312" w:cs="Times New Roman"/>
          <w:sz w:val="28"/>
          <w:szCs w:val="28"/>
        </w:rPr>
        <w:t>ISBN</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9787548729396</w:t>
      </w:r>
      <w:r>
        <w:rPr>
          <w:rFonts w:hint="eastAsia" w:ascii="仿宋_GB2312" w:hAnsi="宋体" w:eastAsia="仿宋_GB2312" w:cs="宋体"/>
          <w:sz w:val="28"/>
          <w:szCs w:val="28"/>
        </w:rPr>
        <w:t>.</w:t>
      </w:r>
    </w:p>
    <w:p>
      <w:pPr>
        <w:spacing w:after="0" w:line="520" w:lineRule="exact"/>
        <w:ind w:firstLine="560" w:firstLineChars="200"/>
        <w:rPr>
          <w:rFonts w:hint="eastAsia" w:ascii="仿宋_GB2312" w:eastAsia="仿宋_GB2312"/>
          <w:sz w:val="28"/>
          <w:szCs w:val="28"/>
        </w:rPr>
      </w:pPr>
      <w:r>
        <w:rPr>
          <w:rFonts w:hint="eastAsia" w:ascii="仿宋_GB2312" w:hAnsi="宋体" w:eastAsia="仿宋_GB2312" w:cs="宋体"/>
          <w:sz w:val="28"/>
          <w:szCs w:val="28"/>
        </w:rPr>
        <w:t>2.《</w:t>
      </w:r>
      <w:r>
        <w:rPr>
          <w:rFonts w:hint="eastAsia" w:ascii="仿宋_GB2312" w:hAnsi="宋体" w:eastAsia="仿宋_GB2312" w:cs="宋体"/>
          <w:sz w:val="28"/>
          <w:szCs w:val="28"/>
          <w:lang w:val="en-US" w:eastAsia="zh-CN"/>
        </w:rPr>
        <w:t>建设工程法规</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许崇华</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华中科技大学出版社</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2018</w:t>
      </w:r>
      <w:r>
        <w:rPr>
          <w:rFonts w:hint="eastAsia" w:ascii="仿宋_GB2312" w:hAnsi="宋体" w:eastAsia="仿宋_GB2312" w:cs="宋体"/>
          <w:sz w:val="28"/>
          <w:szCs w:val="28"/>
        </w:rPr>
        <w:t>，第二版，</w:t>
      </w:r>
      <w:r>
        <w:rPr>
          <w:rFonts w:hint="eastAsia" w:ascii="仿宋_GB2312" w:hAnsi="Times New Roman" w:eastAsia="仿宋_GB2312" w:cs="Times New Roman"/>
          <w:sz w:val="28"/>
          <w:szCs w:val="28"/>
        </w:rPr>
        <w:t>ISBN</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9787568033541</w:t>
      </w:r>
      <w:r>
        <w:rPr>
          <w:rFonts w:ascii="仿宋_GB2312" w:hAnsi="Times New Roman" w:eastAsia="仿宋_GB2312" w:cs="Times New Roman"/>
          <w:sz w:val="28"/>
          <w:szCs w:val="28"/>
        </w:rPr>
        <w:t>.</w:t>
      </w:r>
    </w:p>
    <w:p>
      <w:pPr>
        <w:spacing w:after="0" w:line="520" w:lineRule="exact"/>
        <w:ind w:firstLine="560" w:firstLineChars="200"/>
        <w:rPr>
          <w:rFonts w:hint="eastAsia" w:ascii="仿宋_GB2312" w:eastAsia="仿宋_GB2312"/>
          <w:sz w:val="28"/>
          <w:szCs w:val="28"/>
        </w:rPr>
      </w:pPr>
      <w:r>
        <w:rPr>
          <w:rFonts w:hint="eastAsia" w:ascii="仿宋_GB2312" w:hAnsi="宋体" w:eastAsia="仿宋_GB2312" w:cs="宋体"/>
          <w:sz w:val="28"/>
          <w:szCs w:val="28"/>
        </w:rPr>
        <w:t>3.《</w:t>
      </w:r>
      <w:r>
        <w:rPr>
          <w:rFonts w:hint="eastAsia" w:ascii="仿宋_GB2312" w:hAnsi="宋体" w:eastAsia="仿宋_GB2312" w:cs="宋体"/>
          <w:sz w:val="28"/>
          <w:szCs w:val="28"/>
          <w:lang w:val="en-US" w:eastAsia="zh-CN"/>
        </w:rPr>
        <w:t>建筑法规</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祝骎钦</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国家行政学院出版社</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2017</w:t>
      </w:r>
      <w:r>
        <w:rPr>
          <w:rFonts w:hint="eastAsia" w:ascii="仿宋_GB2312" w:hAnsi="宋体" w:eastAsia="仿宋_GB2312" w:cs="宋体"/>
          <w:sz w:val="28"/>
          <w:szCs w:val="28"/>
        </w:rPr>
        <w:t>，第二版，</w:t>
      </w:r>
      <w:r>
        <w:rPr>
          <w:rFonts w:hint="eastAsia" w:ascii="仿宋_GB2312" w:hAnsi="Times New Roman" w:eastAsia="仿宋_GB2312" w:cs="Times New Roman"/>
          <w:sz w:val="28"/>
          <w:szCs w:val="28"/>
        </w:rPr>
        <w:t>ISBN</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9787515012872</w:t>
      </w:r>
      <w:r>
        <w:rPr>
          <w:rFonts w:ascii="仿宋_GB2312" w:hAnsi="Times New Roman" w:eastAsia="仿宋_GB2312" w:cs="Times New Roman"/>
          <w:sz w:val="28"/>
          <w:szCs w:val="28"/>
        </w:rPr>
        <w:t>.</w:t>
      </w:r>
      <w:r>
        <w:rPr>
          <w:rFonts w:hint="eastAsia" w:ascii="仿宋_GB2312" w:hAnsi="Times New Roman" w:eastAsia="仿宋_GB2312" w:cs="Times New Roman"/>
          <w:sz w:val="28"/>
          <w:szCs w:val="28"/>
        </w:rPr>
        <w:t xml:space="preserve"> </w:t>
      </w:r>
    </w:p>
    <w:p>
      <w:pPr>
        <w:spacing w:after="0" w:line="520" w:lineRule="exact"/>
        <w:ind w:firstLine="560" w:firstLineChars="200"/>
        <w:rPr>
          <w:rFonts w:hint="eastAsia" w:ascii="仿宋_GB2312" w:eastAsia="仿宋_GB2312"/>
          <w:sz w:val="28"/>
          <w:szCs w:val="28"/>
        </w:rPr>
      </w:pPr>
      <w:r>
        <w:rPr>
          <w:rFonts w:hint="eastAsia" w:ascii="仿宋_GB2312" w:hAnsi="Times New Roman" w:eastAsia="仿宋_GB2312" w:cs="Times New Roman"/>
          <w:sz w:val="28"/>
          <w:szCs w:val="28"/>
        </w:rPr>
        <w:t>4.</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建筑法规学习指导</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隋灵灵</w:t>
      </w:r>
      <w:r>
        <w:rPr>
          <w:rFonts w:hint="eastAsia" w:ascii="仿宋_GB2312" w:hAnsi="宋体" w:eastAsia="仿宋_GB2312" w:cs="宋体"/>
          <w:sz w:val="28"/>
          <w:szCs w:val="28"/>
        </w:rPr>
        <w:t>，人民</w:t>
      </w:r>
      <w:r>
        <w:rPr>
          <w:rFonts w:hint="eastAsia" w:ascii="仿宋_GB2312" w:hAnsi="宋体" w:eastAsia="仿宋_GB2312" w:cs="宋体"/>
          <w:sz w:val="28"/>
          <w:szCs w:val="28"/>
          <w:lang w:val="en-US" w:eastAsia="zh-CN"/>
        </w:rPr>
        <w:t>交通出版社，</w:t>
      </w:r>
      <w:r>
        <w:rPr>
          <w:rFonts w:hint="eastAsia" w:ascii="仿宋_GB2312" w:hAnsi="Times New Roman" w:eastAsia="仿宋_GB2312" w:cs="Times New Roman"/>
          <w:sz w:val="28"/>
          <w:szCs w:val="28"/>
        </w:rPr>
        <w:t>201</w:t>
      </w:r>
      <w:r>
        <w:rPr>
          <w:rFonts w:hint="eastAsia" w:ascii="仿宋_GB2312" w:hAnsi="Times New Roman" w:eastAsia="仿宋_GB2312" w:cs="Times New Roman"/>
          <w:sz w:val="28"/>
          <w:szCs w:val="28"/>
          <w:lang w:val="en-US" w:eastAsia="zh-CN"/>
        </w:rPr>
        <w:t>2</w:t>
      </w:r>
      <w:r>
        <w:rPr>
          <w:rFonts w:hint="eastAsia" w:ascii="仿宋_GB2312" w:hAnsi="宋体" w:eastAsia="仿宋_GB2312" w:cs="宋体"/>
          <w:sz w:val="28"/>
          <w:szCs w:val="28"/>
        </w:rPr>
        <w:t>，第</w:t>
      </w:r>
      <w:r>
        <w:rPr>
          <w:rFonts w:hint="eastAsia" w:ascii="仿宋_GB2312" w:hAnsi="宋体" w:eastAsia="仿宋_GB2312" w:cs="宋体"/>
          <w:sz w:val="28"/>
          <w:szCs w:val="28"/>
          <w:lang w:val="en-US" w:eastAsia="zh-CN"/>
        </w:rPr>
        <w:t>一</w:t>
      </w:r>
      <w:r>
        <w:rPr>
          <w:rFonts w:hint="eastAsia" w:ascii="仿宋_GB2312" w:hAnsi="宋体" w:eastAsia="仿宋_GB2312" w:cs="宋体"/>
          <w:sz w:val="28"/>
          <w:szCs w:val="28"/>
        </w:rPr>
        <w:t>版，</w:t>
      </w:r>
      <w:r>
        <w:rPr>
          <w:rFonts w:hint="eastAsia" w:ascii="仿宋_GB2312" w:hAnsi="Times New Roman" w:eastAsia="仿宋_GB2312" w:cs="Times New Roman"/>
          <w:sz w:val="28"/>
          <w:szCs w:val="28"/>
        </w:rPr>
        <w:t>ISBN</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9787114100185</w:t>
      </w:r>
      <w:r>
        <w:rPr>
          <w:rFonts w:ascii="仿宋_GB2312" w:hAnsi="Times New Roman" w:eastAsia="仿宋_GB2312" w:cs="Times New Roman"/>
          <w:sz w:val="28"/>
          <w:szCs w:val="28"/>
        </w:rPr>
        <w:t>.</w:t>
      </w:r>
      <w:r>
        <w:rPr>
          <w:rFonts w:hint="eastAsia" w:ascii="仿宋_GB2312" w:hAnsi="Times New Roman" w:eastAsia="仿宋_GB2312" w:cs="Times New Roman"/>
          <w:sz w:val="28"/>
          <w:szCs w:val="28"/>
        </w:rPr>
        <w:t xml:space="preserve"> </w:t>
      </w:r>
    </w:p>
    <w:p>
      <w:pPr>
        <w:spacing w:after="0" w:line="520" w:lineRule="exact"/>
        <w:ind w:firstLine="560" w:firstLineChars="200"/>
        <w:rPr>
          <w:rFonts w:hint="default" w:ascii="仿宋_GB2312" w:hAnsi="宋体" w:eastAsia="仿宋_GB2312" w:cs="宋体"/>
          <w:sz w:val="28"/>
          <w:szCs w:val="28"/>
          <w:lang w:val="en-US" w:eastAsia="zh-CN"/>
        </w:rPr>
      </w:pPr>
      <w:r>
        <w:rPr>
          <w:rFonts w:hint="eastAsia" w:ascii="仿宋_GB2312" w:hAnsi="Times New Roman" w:eastAsia="仿宋_GB2312" w:cs="Times New Roman"/>
          <w:sz w:val="28"/>
          <w:szCs w:val="28"/>
        </w:rPr>
        <w:t>5.</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中华人民共和国建筑法</w:t>
      </w:r>
      <w:r>
        <w:rPr>
          <w:rFonts w:hint="eastAsia" w:ascii="仿宋_GB2312" w:hAnsi="宋体" w:eastAsia="仿宋_GB2312" w:cs="宋体"/>
          <w:sz w:val="28"/>
          <w:szCs w:val="28"/>
        </w:rPr>
        <w:t>》（</w:t>
      </w:r>
      <w:r>
        <w:rPr>
          <w:rFonts w:hint="eastAsia" w:ascii="仿宋_GB2312" w:hAnsi="Times New Roman" w:eastAsia="仿宋_GB2312" w:cs="Times New Roman"/>
          <w:sz w:val="28"/>
          <w:szCs w:val="28"/>
          <w:lang w:val="en-US" w:eastAsia="zh-CN"/>
        </w:rPr>
        <w:t>2019修正</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全国人大常委会.</w:t>
      </w:r>
    </w:p>
    <w:p>
      <w:pPr>
        <w:spacing w:after="0" w:line="520" w:lineRule="exact"/>
        <w:ind w:firstLine="560" w:firstLineChars="200"/>
        <w:rPr>
          <w:rFonts w:hint="eastAsia" w:ascii="仿宋_GB2312" w:eastAsia="仿宋_GB2312"/>
          <w:sz w:val="28"/>
          <w:szCs w:val="28"/>
        </w:rPr>
      </w:pPr>
      <w:r>
        <w:rPr>
          <w:rFonts w:hint="eastAsia" w:ascii="仿宋_GB2312" w:hAnsi="Times New Roman" w:eastAsia="仿宋_GB2312" w:cs="Times New Roman"/>
          <w:sz w:val="28"/>
          <w:szCs w:val="28"/>
        </w:rPr>
        <w:t>6</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中华人民共和国招标投标法</w:t>
      </w:r>
      <w:r>
        <w:rPr>
          <w:rFonts w:hint="eastAsia" w:ascii="仿宋_GB2312" w:hAnsi="宋体" w:eastAsia="仿宋_GB2312" w:cs="宋体"/>
          <w:sz w:val="28"/>
          <w:szCs w:val="28"/>
        </w:rPr>
        <w:t>》</w:t>
      </w:r>
      <w:r>
        <w:rPr>
          <w:rFonts w:hint="eastAsia" w:ascii="仿宋_GB2312" w:hAnsi="宋体" w:eastAsia="仿宋_GB2312" w:cs="宋体"/>
          <w:sz w:val="28"/>
          <w:szCs w:val="28"/>
          <w:lang w:eastAsia="zh-CN"/>
        </w:rPr>
        <w:t>（</w:t>
      </w:r>
      <w:r>
        <w:rPr>
          <w:rFonts w:hint="eastAsia" w:ascii="仿宋_GB2312" w:hAnsi="宋体" w:eastAsia="仿宋_GB2312" w:cs="宋体"/>
          <w:sz w:val="28"/>
          <w:szCs w:val="28"/>
          <w:lang w:val="en-US" w:eastAsia="zh-CN"/>
        </w:rPr>
        <w:t>2017修正</w:t>
      </w:r>
      <w:r>
        <w:rPr>
          <w:rFonts w:hint="eastAsia" w:ascii="仿宋_GB2312" w:hAnsi="宋体" w:eastAsia="仿宋_GB2312" w:cs="宋体"/>
          <w:sz w:val="28"/>
          <w:szCs w:val="28"/>
          <w:lang w:eastAsia="zh-CN"/>
        </w:rPr>
        <w:t>）</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全国人大常委会.</w:t>
      </w:r>
      <w:r>
        <w:rPr>
          <w:rFonts w:hint="eastAsia" w:ascii="仿宋_GB2312" w:hAnsi="Times New Roman" w:eastAsia="仿宋_GB2312" w:cs="Times New Roman"/>
          <w:sz w:val="28"/>
          <w:szCs w:val="28"/>
        </w:rPr>
        <w:t xml:space="preserve"> </w:t>
      </w:r>
    </w:p>
    <w:p>
      <w:pPr>
        <w:spacing w:after="0" w:line="520" w:lineRule="exact"/>
        <w:ind w:firstLine="560" w:firstLineChars="200"/>
        <w:rPr>
          <w:rFonts w:hint="eastAsia" w:ascii="仿宋_GB2312" w:hAnsi="宋体" w:eastAsia="仿宋_GB2312" w:cs="宋体"/>
          <w:sz w:val="28"/>
          <w:szCs w:val="28"/>
          <w:lang w:val="en-US" w:eastAsia="zh-CN"/>
        </w:rPr>
      </w:pPr>
      <w:r>
        <w:rPr>
          <w:rFonts w:hint="eastAsia" w:ascii="仿宋_GB2312" w:hAnsi="Times New Roman" w:eastAsia="仿宋_GB2312" w:cs="Times New Roman"/>
          <w:sz w:val="28"/>
          <w:szCs w:val="28"/>
        </w:rPr>
        <w:t>7.</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中华人民共和国合同法</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全国人大常委会.</w:t>
      </w:r>
    </w:p>
    <w:p>
      <w:pPr>
        <w:spacing w:after="0" w:line="520" w:lineRule="exact"/>
        <w:ind w:firstLine="560" w:firstLineChars="200"/>
        <w:rPr>
          <w:rFonts w:hint="eastAsia"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8.</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中华人民共和国安全生产法</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全国人大常委会.</w:t>
      </w:r>
    </w:p>
    <w:p>
      <w:pPr>
        <w:spacing w:after="0" w:line="520" w:lineRule="exact"/>
        <w:ind w:firstLine="560" w:firstLineChars="200"/>
        <w:rPr>
          <w:rFonts w:hint="default"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9.</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建设工程质量管理条例</w:t>
      </w:r>
      <w:r>
        <w:rPr>
          <w:rFonts w:hint="eastAsia" w:ascii="仿宋_GB2312" w:hAnsi="宋体" w:eastAsia="仿宋_GB2312" w:cs="宋体"/>
          <w:sz w:val="28"/>
          <w:szCs w:val="28"/>
        </w:rPr>
        <w:t>》，</w:t>
      </w:r>
      <w:r>
        <w:rPr>
          <w:rFonts w:hint="eastAsia" w:ascii="仿宋_GB2312" w:hAnsi="宋体" w:eastAsia="仿宋_GB2312" w:cs="宋体"/>
          <w:sz w:val="28"/>
          <w:szCs w:val="28"/>
          <w:lang w:val="en-US" w:eastAsia="zh-CN"/>
        </w:rPr>
        <w:t>国务院.</w:t>
      </w:r>
    </w:p>
    <w:p>
      <w:pPr>
        <w:spacing w:after="0" w:line="520" w:lineRule="exact"/>
        <w:ind w:firstLine="560" w:firstLineChars="200"/>
        <w:rPr>
          <w:rFonts w:hint="eastAsia" w:ascii="仿宋_GB2312" w:eastAsia="仿宋_GB2312"/>
          <w:sz w:val="28"/>
          <w:szCs w:val="28"/>
        </w:rPr>
      </w:pPr>
      <w:r>
        <w:rPr>
          <w:rFonts w:hint="eastAsia" w:ascii="仿宋_GB2312" w:hAnsi="Times New Roman" w:eastAsia="仿宋_GB2312" w:cs="Times New Roman"/>
          <w:sz w:val="28"/>
          <w:szCs w:val="28"/>
          <w:lang w:val="en-US" w:eastAsia="zh-CN"/>
        </w:rPr>
        <w:t>10</w:t>
      </w:r>
      <w:r>
        <w:rPr>
          <w:rFonts w:hint="eastAsia" w:ascii="仿宋_GB2312" w:hAnsi="Times New Roman" w:eastAsia="仿宋_GB2312" w:cs="Times New Roman"/>
          <w:sz w:val="28"/>
          <w:szCs w:val="28"/>
        </w:rPr>
        <w:t>.</w:t>
      </w:r>
      <w:r>
        <w:rPr>
          <w:rFonts w:hint="eastAsia" w:ascii="仿宋_GB2312" w:hAnsi="宋体" w:eastAsia="仿宋_GB2312" w:cs="宋体"/>
          <w:sz w:val="28"/>
          <w:szCs w:val="28"/>
        </w:rPr>
        <w:t>中央电视台：《</w:t>
      </w:r>
      <w:r>
        <w:rPr>
          <w:rFonts w:hint="eastAsia" w:ascii="仿宋_GB2312" w:hAnsi="宋体" w:eastAsia="仿宋_GB2312" w:cs="宋体"/>
          <w:sz w:val="28"/>
          <w:szCs w:val="28"/>
          <w:lang w:val="en-US" w:eastAsia="zh-CN"/>
        </w:rPr>
        <w:t>超级工程</w:t>
      </w:r>
      <w:r>
        <w:rPr>
          <w:rFonts w:hint="eastAsia" w:ascii="仿宋_GB2312" w:hAnsi="宋体" w:eastAsia="仿宋_GB2312" w:cs="宋体"/>
          <w:sz w:val="28"/>
          <w:szCs w:val="28"/>
        </w:rPr>
        <w:t>》纪录片</w:t>
      </w:r>
      <w:r>
        <w:rPr>
          <w:rFonts w:ascii="仿宋_GB2312" w:hAnsi="Times New Roman" w:eastAsia="仿宋_GB2312" w:cs="Times New Roman"/>
          <w:sz w:val="28"/>
          <w:szCs w:val="28"/>
        </w:rPr>
        <w:t>.</w:t>
      </w:r>
    </w:p>
    <w:p>
      <w:pPr>
        <w:spacing w:after="0" w:line="520" w:lineRule="exact"/>
        <w:ind w:firstLine="560" w:firstLineChars="200"/>
        <w:rPr>
          <w:rFonts w:hint="eastAsia" w:ascii="仿宋_GB2312" w:eastAsia="仿宋_GB2312"/>
          <w:sz w:val="28"/>
          <w:szCs w:val="28"/>
        </w:rPr>
      </w:pPr>
      <w:r>
        <w:rPr>
          <w:rFonts w:hint="eastAsia" w:ascii="仿宋_GB2312" w:hAnsi="Times New Roman" w:eastAsia="仿宋_GB2312" w:cs="Times New Roman"/>
          <w:sz w:val="28"/>
          <w:szCs w:val="28"/>
          <w:lang w:val="en-US" w:eastAsia="zh-CN"/>
        </w:rPr>
        <w:t>11</w:t>
      </w:r>
      <w:r>
        <w:rPr>
          <w:rFonts w:hint="eastAsia" w:ascii="仿宋_GB2312" w:hAnsi="Times New Roman" w:eastAsia="仿宋_GB2312" w:cs="Times New Roman"/>
          <w:sz w:val="28"/>
          <w:szCs w:val="28"/>
        </w:rPr>
        <w:t>.</w:t>
      </w:r>
      <w:r>
        <w:rPr>
          <w:rFonts w:hint="eastAsia" w:ascii="仿宋_GB2312" w:hAnsi="宋体" w:eastAsia="仿宋_GB2312" w:cs="宋体"/>
          <w:sz w:val="28"/>
          <w:szCs w:val="28"/>
        </w:rPr>
        <w:t>中央电视台：《辉煌中国》纪录片.</w:t>
      </w:r>
      <w:r>
        <w:rPr>
          <w:rFonts w:hint="eastAsia" w:ascii="仿宋_GB2312" w:hAnsi="Times New Roman" w:eastAsia="仿宋_GB2312" w:cs="Times New Roman"/>
          <w:sz w:val="28"/>
          <w:szCs w:val="28"/>
        </w:rPr>
        <w:t xml:space="preserve"> </w:t>
      </w:r>
    </w:p>
    <w:p>
      <w:pPr>
        <w:spacing w:after="25"/>
      </w:pPr>
      <w:r>
        <w:rPr>
          <w:rFonts w:ascii="宋体" w:hAnsi="宋体" w:eastAsia="宋体" w:cs="宋体"/>
          <w:sz w:val="21"/>
        </w:rPr>
        <w:t xml:space="preserve"> </w:t>
      </w:r>
    </w:p>
    <w:p>
      <w:pPr>
        <w:spacing w:after="0"/>
      </w:pPr>
      <w:r>
        <w:rPr>
          <w:rFonts w:ascii="宋体" w:hAnsi="宋体" w:eastAsia="宋体" w:cs="宋体"/>
          <w:sz w:val="28"/>
        </w:rPr>
        <w:t xml:space="preserve"> </w:t>
      </w:r>
    </w:p>
    <w:p>
      <w:pPr>
        <w:spacing w:after="3" w:line="478" w:lineRule="auto"/>
        <w:ind w:left="3610" w:hanging="10"/>
        <w:rPr>
          <w:rFonts w:hint="eastAsia" w:ascii="黑体" w:hAnsi="黑体" w:eastAsia="黑体" w:cs="黑体"/>
          <w:sz w:val="28"/>
          <w:szCs w:val="28"/>
          <w:lang w:eastAsia="zh-CN"/>
        </w:rPr>
      </w:pPr>
      <w:r>
        <w:rPr>
          <w:rFonts w:ascii="黑体" w:hAnsi="黑体" w:eastAsia="黑体" w:cs="黑体"/>
          <w:sz w:val="28"/>
          <w:szCs w:val="28"/>
        </w:rPr>
        <w:t>大纲执笔人：</w:t>
      </w:r>
      <w:r>
        <w:rPr>
          <w:rFonts w:hint="eastAsia" w:ascii="黑体" w:hAnsi="黑体" w:eastAsia="黑体" w:cs="黑体"/>
          <w:sz w:val="28"/>
          <w:szCs w:val="28"/>
          <w:lang w:val="en-US" w:eastAsia="zh-CN"/>
        </w:rPr>
        <w:t>刘钰</w:t>
      </w:r>
    </w:p>
    <w:p>
      <w:pPr>
        <w:spacing w:after="3" w:line="478" w:lineRule="auto"/>
        <w:ind w:left="3610" w:hanging="10"/>
        <w:rPr>
          <w:sz w:val="28"/>
          <w:szCs w:val="28"/>
        </w:rPr>
      </w:pPr>
      <w:r>
        <w:rPr>
          <w:rFonts w:ascii="黑体" w:hAnsi="黑体" w:eastAsia="黑体" w:cs="黑体"/>
          <w:sz w:val="28"/>
          <w:szCs w:val="28"/>
        </w:rPr>
        <w:t xml:space="preserve">审核人(专业负责人/系主任)： </w:t>
      </w:r>
    </w:p>
    <w:p>
      <w:pPr>
        <w:spacing w:after="285"/>
        <w:ind w:left="1493"/>
        <w:jc w:val="center"/>
        <w:rPr>
          <w:sz w:val="28"/>
          <w:szCs w:val="28"/>
        </w:rPr>
      </w:pPr>
      <w:r>
        <w:rPr>
          <w:rFonts w:ascii="黑体" w:hAnsi="黑体" w:eastAsia="黑体" w:cs="黑体"/>
          <w:sz w:val="28"/>
          <w:szCs w:val="28"/>
        </w:rPr>
        <w:t>制定时间：2020年</w:t>
      </w:r>
      <w:r>
        <w:rPr>
          <w:rFonts w:hint="eastAsia" w:ascii="黑体" w:hAnsi="黑体" w:eastAsia="黑体" w:cs="黑体"/>
          <w:sz w:val="28"/>
          <w:szCs w:val="28"/>
          <w:lang w:val="en-US" w:eastAsia="zh-CN"/>
        </w:rPr>
        <w:t>9</w:t>
      </w:r>
      <w:r>
        <w:rPr>
          <w:rFonts w:ascii="黑体" w:hAnsi="黑体" w:eastAsia="黑体" w:cs="黑体"/>
          <w:sz w:val="28"/>
          <w:szCs w:val="28"/>
        </w:rPr>
        <w:t>月</w:t>
      </w:r>
      <w:r>
        <w:rPr>
          <w:rFonts w:hint="eastAsia" w:ascii="黑体" w:hAnsi="黑体" w:eastAsia="黑体" w:cs="黑体"/>
          <w:sz w:val="28"/>
          <w:szCs w:val="28"/>
          <w:lang w:val="en-US" w:eastAsia="zh-CN"/>
        </w:rPr>
        <w:t>3</w:t>
      </w:r>
      <w:r>
        <w:rPr>
          <w:rFonts w:ascii="黑体" w:hAnsi="黑体" w:eastAsia="黑体" w:cs="黑体"/>
          <w:sz w:val="28"/>
          <w:szCs w:val="28"/>
        </w:rPr>
        <w:t xml:space="preserve">日 </w:t>
      </w:r>
    </w:p>
    <w:p>
      <w:pPr>
        <w:spacing w:after="297"/>
        <w:ind w:left="3600"/>
      </w:pPr>
      <w:r>
        <w:rPr>
          <w:rFonts w:ascii="黑体" w:hAnsi="黑体" w:eastAsia="黑体" w:cs="黑体"/>
          <w:sz w:val="24"/>
        </w:rPr>
        <w:t xml:space="preserve"> </w:t>
      </w:r>
    </w:p>
    <w:p>
      <w:pPr>
        <w:spacing w:after="0"/>
        <w:ind w:left="3600"/>
      </w:pPr>
      <w:r>
        <w:rPr>
          <w:rFonts w:ascii="黑体" w:hAnsi="黑体" w:eastAsia="黑体" w:cs="黑体"/>
          <w:sz w:val="24"/>
        </w:rPr>
        <w:t xml:space="preserve"> </w:t>
      </w:r>
    </w:p>
    <w:p>
      <w:pPr>
        <w:spacing w:after="0"/>
        <w:ind w:left="3600"/>
      </w:pPr>
      <w:r>
        <w:rPr>
          <w:rFonts w:ascii="黑体" w:hAnsi="黑体" w:eastAsia="黑体" w:cs="黑体"/>
          <w:sz w:val="24"/>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spacing w:after="0" w:line="240" w:lineRule="auto"/>
      </w:pPr>
      <w:r>
        <w:rPr>
          <w:rFonts w:ascii="黑体" w:hAnsi="黑体" w:eastAsia="黑体" w:cs="黑体"/>
          <w:sz w:val="24"/>
        </w:rPr>
        <w:t xml:space="preserve">附录：各类考核评分标准表 </w:t>
      </w:r>
    </w:p>
    <w:p>
      <w:pPr>
        <w:spacing w:after="0"/>
        <w:ind w:left="10" w:right="3233" w:hanging="10"/>
        <w:jc w:val="right"/>
        <w:rPr>
          <w:rFonts w:ascii="黑体" w:hAnsi="黑体" w:eastAsia="黑体" w:cs="黑体"/>
          <w:sz w:val="24"/>
        </w:rPr>
      </w:pPr>
    </w:p>
    <w:p>
      <w:pPr>
        <w:spacing w:after="0"/>
        <w:ind w:left="10" w:right="3233" w:hanging="10"/>
        <w:jc w:val="right"/>
      </w:pPr>
      <w:r>
        <w:rPr>
          <w:rFonts w:ascii="黑体" w:hAnsi="黑体" w:eastAsia="黑体" w:cs="黑体"/>
          <w:sz w:val="24"/>
        </w:rPr>
        <w:t xml:space="preserve">平时作业评分标准 </w:t>
      </w:r>
    </w:p>
    <w:tbl>
      <w:tblPr>
        <w:tblStyle w:val="8"/>
        <w:tblW w:w="10206" w:type="dxa"/>
        <w:jc w:val="center"/>
        <w:tblLayout w:type="autofit"/>
        <w:tblCellMar>
          <w:top w:w="81" w:type="dxa"/>
          <w:left w:w="107" w:type="dxa"/>
          <w:bottom w:w="0" w:type="dxa"/>
          <w:right w:w="115" w:type="dxa"/>
        </w:tblCellMar>
      </w:tblPr>
      <w:tblGrid>
        <w:gridCol w:w="2647"/>
        <w:gridCol w:w="1678"/>
        <w:gridCol w:w="1511"/>
        <w:gridCol w:w="1511"/>
        <w:gridCol w:w="1678"/>
        <w:gridCol w:w="1181"/>
      </w:tblGrid>
      <w:tr>
        <w:tblPrEx>
          <w:tblCellMar>
            <w:top w:w="81" w:type="dxa"/>
            <w:left w:w="107" w:type="dxa"/>
            <w:bottom w:w="0" w:type="dxa"/>
            <w:right w:w="115" w:type="dxa"/>
          </w:tblCellMar>
        </w:tblPrEx>
        <w:trPr>
          <w:trHeight w:val="347" w:hRule="atLeast"/>
          <w:jc w:val="center"/>
        </w:trPr>
        <w:tc>
          <w:tcPr>
            <w:tcW w:w="2647" w:type="dxa"/>
            <w:vMerge w:val="restart"/>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教学目标要求</w:t>
            </w:r>
          </w:p>
        </w:tc>
        <w:tc>
          <w:tcPr>
            <w:tcW w:w="6378" w:type="dxa"/>
            <w:gridSpan w:val="4"/>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评分标准</w:t>
            </w:r>
          </w:p>
        </w:tc>
        <w:tc>
          <w:tcPr>
            <w:tcW w:w="1181" w:type="dxa"/>
            <w:vMerge w:val="restart"/>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权重</w:t>
            </w:r>
          </w:p>
          <w:p>
            <w:pPr>
              <w:pStyle w:val="12"/>
              <w:jc w:val="center"/>
              <w:rPr>
                <w:b/>
              </w:rPr>
            </w:pPr>
            <w:r>
              <w:rPr>
                <w:b/>
              </w:rPr>
              <w:t>（%）</w:t>
            </w:r>
          </w:p>
        </w:tc>
      </w:tr>
      <w:tr>
        <w:tblPrEx>
          <w:tblCellMar>
            <w:top w:w="81" w:type="dxa"/>
            <w:left w:w="107" w:type="dxa"/>
            <w:bottom w:w="0" w:type="dxa"/>
            <w:right w:w="115" w:type="dxa"/>
          </w:tblCellMar>
        </w:tblPrEx>
        <w:trPr>
          <w:trHeight w:val="338" w:hRule="atLeast"/>
          <w:jc w:val="center"/>
        </w:trPr>
        <w:tc>
          <w:tcPr>
            <w:tcW w:w="0" w:type="auto"/>
            <w:vMerge w:val="continue"/>
            <w:tcBorders>
              <w:top w:val="nil"/>
              <w:left w:val="single" w:color="000000" w:sz="4" w:space="0"/>
              <w:bottom w:val="single" w:color="000000" w:sz="4" w:space="0"/>
              <w:right w:val="single" w:color="000000" w:sz="4" w:space="0"/>
            </w:tcBorders>
            <w:vAlign w:val="center"/>
          </w:tcPr>
          <w:p>
            <w:pPr>
              <w:pStyle w:val="12"/>
              <w:jc w:val="center"/>
              <w:rPr>
                <w:b/>
              </w:rPr>
            </w:pPr>
          </w:p>
        </w:tc>
        <w:tc>
          <w:tcPr>
            <w:tcW w:w="1678"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90-100</w:t>
            </w:r>
          </w:p>
        </w:tc>
        <w:tc>
          <w:tcPr>
            <w:tcW w:w="151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80-89</w:t>
            </w:r>
          </w:p>
        </w:tc>
        <w:tc>
          <w:tcPr>
            <w:tcW w:w="151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60-79</w:t>
            </w:r>
          </w:p>
        </w:tc>
        <w:tc>
          <w:tcPr>
            <w:tcW w:w="1678"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0-59</w:t>
            </w:r>
          </w:p>
        </w:tc>
        <w:tc>
          <w:tcPr>
            <w:tcW w:w="0" w:type="auto"/>
            <w:vMerge w:val="continue"/>
            <w:tcBorders>
              <w:top w:val="nil"/>
              <w:left w:val="single" w:color="000000" w:sz="4" w:space="0"/>
              <w:bottom w:val="single" w:color="000000" w:sz="4" w:space="0"/>
              <w:right w:val="single" w:color="000000" w:sz="4" w:space="0"/>
            </w:tcBorders>
          </w:tcPr>
          <w:p>
            <w:pPr>
              <w:pStyle w:val="12"/>
            </w:pPr>
          </w:p>
        </w:tc>
      </w:tr>
      <w:tr>
        <w:tblPrEx>
          <w:tblCellMar>
            <w:top w:w="81" w:type="dxa"/>
            <w:left w:w="107" w:type="dxa"/>
            <w:bottom w:w="0" w:type="dxa"/>
            <w:right w:w="115" w:type="dxa"/>
          </w:tblCellMar>
        </w:tblPrEx>
        <w:trPr>
          <w:trHeight w:val="2842" w:hRule="atLeast"/>
          <w:jc w:val="center"/>
        </w:trPr>
        <w:tc>
          <w:tcPr>
            <w:tcW w:w="2647" w:type="dxa"/>
            <w:tcBorders>
              <w:top w:val="single" w:color="000000" w:sz="4" w:space="0"/>
              <w:left w:val="single" w:color="000000" w:sz="4" w:space="0"/>
              <w:bottom w:val="single" w:color="000000" w:sz="4" w:space="0"/>
              <w:right w:val="single" w:color="000000" w:sz="4" w:space="0"/>
            </w:tcBorders>
          </w:tcPr>
          <w:p>
            <w:pPr>
              <w:pStyle w:val="12"/>
              <w:ind w:right="44" w:rightChars="20"/>
            </w:pPr>
            <w:r>
              <w:rPr>
                <w:b w:val="0"/>
                <w:bCs/>
              </w:rPr>
              <w:t>目标1</w:t>
            </w:r>
            <w:r>
              <w:rPr>
                <w:rFonts w:hint="eastAsia"/>
                <w:b w:val="0"/>
                <w:bCs/>
              </w:rPr>
              <w:t>：</w:t>
            </w:r>
            <w:r>
              <w:rPr>
                <w:rFonts w:hint="eastAsia"/>
                <w:lang w:val="en-US" w:eastAsia="zh-CN"/>
              </w:rPr>
              <w:t>增强</w:t>
            </w:r>
            <w:r>
              <w:t>学生</w:t>
            </w:r>
            <w:r>
              <w:rPr>
                <w:rFonts w:hint="eastAsia"/>
                <w:lang w:val="en-US" w:eastAsia="zh-CN"/>
              </w:rPr>
              <w:t>的建设工程法律意识</w:t>
            </w:r>
            <w:r>
              <w:t>：</w:t>
            </w:r>
            <w:r>
              <w:rPr>
                <w:rFonts w:hint="eastAsia"/>
                <w:lang w:val="en-US" w:eastAsia="zh-CN"/>
              </w:rPr>
              <w:t>能够运用法律知识分析问题、解决问题；对建设工程中产生的基本民事法律关系进行分析、处理；具备分析违法行为承担法律责任的你能力。</w:t>
            </w:r>
            <w:r>
              <w:t>（支撑毕业要求指标点</w:t>
            </w:r>
            <w:r>
              <w:rPr>
                <w:rFonts w:hint="eastAsia" w:ascii="宋体" w:hAnsi="宋体" w:eastAsia="仿宋_GB2312" w:cs="宋体"/>
                <w:color w:val="000000"/>
                <w:kern w:val="2"/>
                <w:sz w:val="21"/>
                <w:szCs w:val="22"/>
                <w:lang w:val="en-US" w:eastAsia="zh-CN" w:bidi="ar-SA"/>
              </w:rPr>
              <w:t>5.1.2</w:t>
            </w:r>
            <w:r>
              <w:t xml:space="preserve">） </w:t>
            </w:r>
          </w:p>
        </w:tc>
        <w:tc>
          <w:tcPr>
            <w:tcW w:w="1678"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正确分析法律关系，并能结合案例指出案例中的法律关系，能正确指出建设工程法律法规调整对象。</w:t>
            </w:r>
          </w:p>
          <w:p>
            <w:pPr>
              <w:pStyle w:val="12"/>
            </w:pPr>
          </w:p>
        </w:tc>
        <w:tc>
          <w:tcPr>
            <w:tcW w:w="1511"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正确分析法律关系，能正确指出建设工程法律法规调整对象。</w:t>
            </w:r>
          </w:p>
          <w:p>
            <w:pPr>
              <w:pStyle w:val="12"/>
              <w:rPr>
                <w:rFonts w:hint="default" w:eastAsia="仿宋_GB2312"/>
                <w:lang w:val="en-US" w:eastAsia="zh-CN"/>
              </w:rPr>
            </w:pPr>
          </w:p>
          <w:p>
            <w:pPr>
              <w:pStyle w:val="12"/>
            </w:pPr>
            <w:r>
              <w:t xml:space="preserve"> </w:t>
            </w:r>
          </w:p>
        </w:tc>
        <w:tc>
          <w:tcPr>
            <w:tcW w:w="1511"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较为正确分析法律关系，不能结合案例指出案例中的法律关系，较为正确指出建设工程法律法规调整对象。</w:t>
            </w:r>
          </w:p>
        </w:tc>
        <w:tc>
          <w:tcPr>
            <w:tcW w:w="1678"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不能正确分析法律关系，不能结合案例指出案例中的法律关系，不能正确指出建设工程法律法规调整对象。</w:t>
            </w:r>
          </w:p>
        </w:tc>
        <w:tc>
          <w:tcPr>
            <w:tcW w:w="1181"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10 </w:t>
            </w:r>
          </w:p>
        </w:tc>
      </w:tr>
      <w:tr>
        <w:tblPrEx>
          <w:tblCellMar>
            <w:top w:w="81" w:type="dxa"/>
            <w:left w:w="107" w:type="dxa"/>
            <w:bottom w:w="0" w:type="dxa"/>
            <w:right w:w="115" w:type="dxa"/>
          </w:tblCellMar>
        </w:tblPrEx>
        <w:trPr>
          <w:trHeight w:val="2756" w:hRule="atLeast"/>
          <w:jc w:val="center"/>
        </w:trPr>
        <w:tc>
          <w:tcPr>
            <w:tcW w:w="2647"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3</w:t>
            </w:r>
            <w:r>
              <w:rPr>
                <w:rFonts w:hint="eastAsia"/>
              </w:rPr>
              <w:t>：</w:t>
            </w:r>
            <w:r>
              <w:rPr>
                <w:rFonts w:hint="eastAsia"/>
                <w:lang w:val="en-US" w:eastAsia="zh-CN"/>
              </w:rPr>
              <w:t>培养</w:t>
            </w:r>
            <w:r>
              <w:t>学生</w:t>
            </w:r>
            <w:r>
              <w:rPr>
                <w:rFonts w:hint="eastAsia"/>
                <w:lang w:val="en-US" w:eastAsia="zh-CN"/>
              </w:rPr>
              <w:t>能根据建设工程发承包法律法规开展工程建设项目招标与投标工作；能够运用招标投标法的相关规定进行工程建设活动。</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5.1.9</w:t>
            </w:r>
            <w:r>
              <w:t xml:space="preserve">） </w:t>
            </w:r>
          </w:p>
        </w:tc>
        <w:tc>
          <w:tcPr>
            <w:tcW w:w="1678"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能正确判断建设工程承发包中违法行为，能正确列出招标的流程，并正确指出招标过程中的相关规定。</w:t>
            </w:r>
            <w:r>
              <w:t xml:space="preserve"> </w:t>
            </w:r>
          </w:p>
          <w:p>
            <w:pPr>
              <w:pStyle w:val="12"/>
            </w:pPr>
            <w:r>
              <w:t xml:space="preserve"> </w:t>
            </w:r>
          </w:p>
        </w:tc>
        <w:tc>
          <w:tcPr>
            <w:tcW w:w="1511"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能正确判断建设工程承发包中违法行为，能较为正确列出招标的流程，并较为正确指出招标过程中的相关规定。</w:t>
            </w:r>
            <w:r>
              <w:t xml:space="preserve"> </w:t>
            </w:r>
          </w:p>
          <w:p>
            <w:pPr>
              <w:pStyle w:val="12"/>
            </w:pPr>
            <w:r>
              <w:t xml:space="preserve"> </w:t>
            </w:r>
          </w:p>
        </w:tc>
        <w:tc>
          <w:tcPr>
            <w:tcW w:w="1511"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能较为正确判断建设工程承发包中违法行为，能较为正确列出招标的流程，并较为正确指出招标过程中的相关规定。</w:t>
            </w:r>
            <w:r>
              <w:t xml:space="preserve"> </w:t>
            </w:r>
          </w:p>
          <w:p>
            <w:pPr>
              <w:pStyle w:val="12"/>
            </w:pPr>
            <w:r>
              <w:t xml:space="preserve"> </w:t>
            </w:r>
          </w:p>
        </w:tc>
        <w:tc>
          <w:tcPr>
            <w:tcW w:w="1678"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不能正确判断建设工程承发包中违法行为，不能较为正确列出招标的流程，并不能较为正确指出招标过程中的相关规定。</w:t>
            </w:r>
            <w:r>
              <w:t xml:space="preserve"> </w:t>
            </w:r>
          </w:p>
          <w:p>
            <w:pPr>
              <w:pStyle w:val="12"/>
            </w:pPr>
            <w:r>
              <w:t xml:space="preserve"> </w:t>
            </w:r>
          </w:p>
          <w:p>
            <w:pPr>
              <w:pStyle w:val="12"/>
            </w:pPr>
            <w:r>
              <w:t xml:space="preserve"> </w:t>
            </w:r>
          </w:p>
        </w:tc>
        <w:tc>
          <w:tcPr>
            <w:tcW w:w="1181"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10</w:t>
            </w:r>
          </w:p>
        </w:tc>
      </w:tr>
    </w:tbl>
    <w:p>
      <w:pPr>
        <w:spacing w:after="0"/>
      </w:pPr>
    </w:p>
    <w:p>
      <w:pPr>
        <w:spacing w:after="140"/>
      </w:pPr>
      <w:r>
        <w:rPr>
          <w:rFonts w:ascii="黑体" w:hAnsi="黑体" w:eastAsia="黑体" w:cs="黑体"/>
          <w:sz w:val="24"/>
        </w:rPr>
        <w:t xml:space="preserve"> </w:t>
      </w:r>
    </w:p>
    <w:p>
      <w:pPr>
        <w:spacing w:after="0"/>
        <w:ind w:left="10" w:right="3846" w:hanging="10"/>
        <w:jc w:val="right"/>
      </w:pPr>
      <w:r>
        <w:rPr>
          <w:rFonts w:ascii="黑体" w:hAnsi="黑体" w:eastAsia="黑体" w:cs="黑体"/>
          <w:sz w:val="24"/>
        </w:rPr>
        <w:t>考试评分标准</w:t>
      </w:r>
      <w:r>
        <w:rPr>
          <w:rFonts w:ascii="黑体" w:hAnsi="黑体" w:eastAsia="黑体" w:cs="黑体"/>
          <w:sz w:val="21"/>
        </w:rPr>
        <w:t xml:space="preserve"> </w:t>
      </w:r>
    </w:p>
    <w:tbl>
      <w:tblPr>
        <w:tblStyle w:val="8"/>
        <w:tblW w:w="10206" w:type="dxa"/>
        <w:jc w:val="center"/>
        <w:tblLayout w:type="autofit"/>
        <w:tblCellMar>
          <w:top w:w="0" w:type="dxa"/>
          <w:left w:w="107" w:type="dxa"/>
          <w:bottom w:w="0" w:type="dxa"/>
          <w:right w:w="113" w:type="dxa"/>
        </w:tblCellMar>
      </w:tblPr>
      <w:tblGrid>
        <w:gridCol w:w="2756"/>
        <w:gridCol w:w="1487"/>
        <w:gridCol w:w="1487"/>
        <w:gridCol w:w="1628"/>
        <w:gridCol w:w="2016"/>
        <w:gridCol w:w="832"/>
      </w:tblGrid>
      <w:tr>
        <w:tblPrEx>
          <w:tblCellMar>
            <w:top w:w="0" w:type="dxa"/>
            <w:left w:w="107" w:type="dxa"/>
            <w:bottom w:w="0" w:type="dxa"/>
            <w:right w:w="113" w:type="dxa"/>
          </w:tblCellMar>
        </w:tblPrEx>
        <w:trPr>
          <w:trHeight w:val="374" w:hRule="atLeast"/>
          <w:jc w:val="center"/>
        </w:trPr>
        <w:tc>
          <w:tcPr>
            <w:tcW w:w="2756"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2"/>
              <w:jc w:val="center"/>
              <w:rPr>
                <w:b/>
              </w:rPr>
            </w:pPr>
            <w:r>
              <w:rPr>
                <w:b/>
              </w:rPr>
              <w:t>教学目标要求</w:t>
            </w:r>
          </w:p>
        </w:tc>
        <w:tc>
          <w:tcPr>
            <w:tcW w:w="6618" w:type="dxa"/>
            <w:gridSpan w:val="4"/>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评分标准</w:t>
            </w:r>
          </w:p>
        </w:tc>
        <w:tc>
          <w:tcPr>
            <w:tcW w:w="832" w:type="dxa"/>
            <w:vMerge w:val="restart"/>
            <w:tcBorders>
              <w:top w:val="single" w:color="000000" w:sz="4" w:space="0"/>
              <w:left w:val="single" w:color="000000" w:sz="4" w:space="0"/>
              <w:right w:val="single" w:color="auto" w:sz="4" w:space="0"/>
            </w:tcBorders>
            <w:vAlign w:val="center"/>
          </w:tcPr>
          <w:p>
            <w:pPr>
              <w:pStyle w:val="12"/>
              <w:jc w:val="center"/>
              <w:rPr>
                <w:b/>
              </w:rPr>
            </w:pPr>
            <w:r>
              <w:rPr>
                <w:b/>
              </w:rPr>
              <w:t>权重（%）</w:t>
            </w:r>
          </w:p>
        </w:tc>
      </w:tr>
      <w:tr>
        <w:tblPrEx>
          <w:tblCellMar>
            <w:top w:w="0" w:type="dxa"/>
            <w:left w:w="107" w:type="dxa"/>
            <w:bottom w:w="0" w:type="dxa"/>
            <w:right w:w="113" w:type="dxa"/>
          </w:tblCellMar>
        </w:tblPrEx>
        <w:trPr>
          <w:trHeight w:val="423" w:hRule="atLeast"/>
          <w:jc w:val="center"/>
        </w:trPr>
        <w:tc>
          <w:tcPr>
            <w:tcW w:w="0" w:type="auto"/>
            <w:vMerge w:val="continue"/>
            <w:tcBorders>
              <w:left w:val="single" w:color="000000" w:sz="4" w:space="0"/>
              <w:bottom w:val="single" w:color="000000" w:sz="4" w:space="0"/>
              <w:right w:val="single" w:color="000000" w:sz="4" w:space="0"/>
            </w:tcBorders>
            <w:vAlign w:val="center"/>
          </w:tcPr>
          <w:p>
            <w:pPr>
              <w:pStyle w:val="12"/>
              <w:jc w:val="center"/>
              <w:rPr>
                <w:b/>
              </w:rPr>
            </w:pPr>
          </w:p>
        </w:tc>
        <w:tc>
          <w:tcPr>
            <w:tcW w:w="1487"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90-100</w:t>
            </w:r>
          </w:p>
        </w:tc>
        <w:tc>
          <w:tcPr>
            <w:tcW w:w="1487"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80-89</w:t>
            </w:r>
          </w:p>
        </w:tc>
        <w:tc>
          <w:tcPr>
            <w:tcW w:w="1628"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60-79</w:t>
            </w:r>
          </w:p>
        </w:tc>
        <w:tc>
          <w:tcPr>
            <w:tcW w:w="2016"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2"/>
              <w:jc w:val="center"/>
              <w:rPr>
                <w:b/>
              </w:rPr>
            </w:pPr>
            <w:r>
              <w:rPr>
                <w:b/>
              </w:rPr>
              <w:t>0-59</w:t>
            </w:r>
          </w:p>
        </w:tc>
        <w:tc>
          <w:tcPr>
            <w:tcW w:w="832" w:type="dxa"/>
            <w:vMerge w:val="continue"/>
            <w:tcBorders>
              <w:left w:val="single" w:color="000000" w:sz="4" w:space="0"/>
              <w:bottom w:val="single" w:color="000000" w:sz="4" w:space="0"/>
              <w:right w:val="single" w:color="auto" w:sz="4" w:space="0"/>
            </w:tcBorders>
            <w:shd w:val="clear" w:color="auto" w:fill="EEECE1"/>
            <w:vAlign w:val="center"/>
          </w:tcPr>
          <w:p>
            <w:pPr>
              <w:pStyle w:val="12"/>
              <w:jc w:val="center"/>
              <w:rPr>
                <w:b/>
              </w:rPr>
            </w:pPr>
          </w:p>
        </w:tc>
      </w:tr>
      <w:tr>
        <w:tblPrEx>
          <w:tblCellMar>
            <w:top w:w="0" w:type="dxa"/>
            <w:left w:w="107" w:type="dxa"/>
            <w:bottom w:w="0" w:type="dxa"/>
            <w:right w:w="113" w:type="dxa"/>
          </w:tblCellMar>
        </w:tblPrEx>
        <w:trPr>
          <w:trHeight w:val="2268"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2"/>
              <w:ind w:right="44" w:rightChars="20"/>
            </w:pPr>
            <w:r>
              <w:rPr>
                <w:b w:val="0"/>
                <w:bCs/>
              </w:rPr>
              <w:t>目标1</w:t>
            </w:r>
            <w:r>
              <w:rPr>
                <w:rFonts w:hint="eastAsia"/>
                <w:b w:val="0"/>
                <w:bCs/>
              </w:rPr>
              <w:t>：</w:t>
            </w:r>
            <w:r>
              <w:rPr>
                <w:rFonts w:hint="eastAsia"/>
                <w:lang w:val="en-US" w:eastAsia="zh-CN"/>
              </w:rPr>
              <w:t>增强</w:t>
            </w:r>
            <w:r>
              <w:t>学生</w:t>
            </w:r>
            <w:r>
              <w:rPr>
                <w:rFonts w:hint="eastAsia"/>
                <w:lang w:val="en-US" w:eastAsia="zh-CN"/>
              </w:rPr>
              <w:t>的建设工程法律意识</w:t>
            </w:r>
            <w:r>
              <w:t>：</w:t>
            </w:r>
            <w:r>
              <w:rPr>
                <w:rFonts w:hint="eastAsia"/>
                <w:lang w:val="en-US" w:eastAsia="zh-CN"/>
              </w:rPr>
              <w:t>能够运用法律知识分析问题、解决问题；对建设工程中产生的基本民事法律关系进行分析、处理；具备分析违法行为承担法律责任的你能力。</w:t>
            </w:r>
            <w:r>
              <w:t>（支撑毕业要求指标点</w:t>
            </w:r>
            <w:r>
              <w:rPr>
                <w:rFonts w:hint="eastAsia" w:ascii="宋体" w:hAnsi="宋体" w:eastAsia="仿宋_GB2312" w:cs="宋体"/>
                <w:color w:val="000000"/>
                <w:kern w:val="2"/>
                <w:sz w:val="21"/>
                <w:szCs w:val="22"/>
                <w:lang w:val="en-US" w:eastAsia="zh-CN" w:bidi="ar-SA"/>
              </w:rPr>
              <w:t>5.1.2</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能准确掌握建设工程法的渊源、制定单位、法的效力层级，理解法律责任的一般构成要件，能正确指出解决建设工程纠纷方式，以及正确指出中仲裁和诉讼的程序。</w:t>
            </w:r>
          </w:p>
          <w:p>
            <w:pPr>
              <w:pStyle w:val="12"/>
            </w:pPr>
          </w:p>
        </w:tc>
        <w:tc>
          <w:tcPr>
            <w:tcW w:w="1487"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能较为准确掌握建设工程法的渊源、制定单位、法的效力层级，理解法律责任的一般构成要件，能正确指出解决建设工程纠纷方式，以及正确指出中仲裁和诉讼的程序。</w:t>
            </w:r>
          </w:p>
          <w:p>
            <w:pPr>
              <w:pStyle w:val="12"/>
            </w:pPr>
            <w:r>
              <w:t xml:space="preserve"> </w:t>
            </w:r>
          </w:p>
        </w:tc>
        <w:tc>
          <w:tcPr>
            <w:tcW w:w="1628"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能较为准确掌握建设工程法的渊源、制定单位、法的效力层级，理解法律责任的一般构成要件，能较为正确指出解决建设工程纠纷方式，以及正确指出中仲裁和诉讼的程序。</w:t>
            </w:r>
          </w:p>
          <w:p>
            <w:pPr>
              <w:pStyle w:val="12"/>
            </w:pPr>
            <w:r>
              <w:t xml:space="preserve"> </w:t>
            </w:r>
          </w:p>
        </w:tc>
        <w:tc>
          <w:tcPr>
            <w:tcW w:w="2016" w:type="dxa"/>
            <w:tcBorders>
              <w:top w:val="single" w:color="000000" w:sz="4" w:space="0"/>
              <w:left w:val="single" w:color="000000" w:sz="4" w:space="0"/>
              <w:bottom w:val="single" w:color="000000" w:sz="4" w:space="0"/>
              <w:right w:val="single" w:color="000000" w:sz="4" w:space="0"/>
            </w:tcBorders>
          </w:tcPr>
          <w:p>
            <w:pPr>
              <w:pStyle w:val="12"/>
              <w:rPr>
                <w:rFonts w:hint="default" w:eastAsia="仿宋_GB2312"/>
                <w:lang w:val="en-US" w:eastAsia="zh-CN"/>
              </w:rPr>
            </w:pPr>
            <w:r>
              <w:rPr>
                <w:rFonts w:hint="eastAsia"/>
                <w:lang w:val="en-US" w:eastAsia="zh-CN"/>
              </w:rPr>
              <w:t>不能准确掌握建设工程法的渊源、制定单位、法的效力层级，不能指出法律责任的一般构成要件，不能较为正确指出解决建设工程纠纷方式，以及不能正确指出中仲裁和诉讼的程序。</w:t>
            </w:r>
          </w:p>
          <w:p>
            <w:pPr>
              <w:pStyle w:val="12"/>
            </w:pP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15 </w:t>
            </w:r>
          </w:p>
        </w:tc>
      </w:tr>
      <w:tr>
        <w:tblPrEx>
          <w:tblCellMar>
            <w:top w:w="0" w:type="dxa"/>
            <w:left w:w="107" w:type="dxa"/>
            <w:bottom w:w="0" w:type="dxa"/>
            <w:right w:w="113" w:type="dxa"/>
          </w:tblCellMar>
        </w:tblPrEx>
        <w:trPr>
          <w:trHeight w:val="2116"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2"/>
            </w:pPr>
            <w:r>
              <w:rPr>
                <w:b w:val="0"/>
                <w:bCs/>
              </w:rPr>
              <w:t>目标2</w:t>
            </w:r>
            <w:r>
              <w:rPr>
                <w:rFonts w:hint="eastAsia"/>
              </w:rPr>
              <w:t>：</w:t>
            </w:r>
            <w:r>
              <w:t>培养学生的</w:t>
            </w:r>
            <w:r>
              <w:rPr>
                <w:rFonts w:hint="eastAsia"/>
                <w:lang w:val="en-US" w:eastAsia="zh-CN"/>
              </w:rPr>
              <w:t>运用相关规范的能力</w:t>
            </w:r>
            <w:r>
              <w:t>：</w:t>
            </w:r>
            <w:r>
              <w:rPr>
                <w:rFonts w:hint="eastAsia"/>
                <w:lang w:val="en-US" w:eastAsia="zh-CN"/>
              </w:rPr>
              <w:t>能够按照流程办理施工许可证；能够独立区分从业单位的资质等级；能够独立列出从业人员执业资格制度。</w:t>
            </w:r>
            <w:r>
              <w:t>（支撑毕业要求指标点</w:t>
            </w:r>
            <w:r>
              <w:rPr>
                <w:rFonts w:hint="eastAsia" w:ascii="宋体" w:hAnsi="宋体" w:eastAsia="仿宋_GB2312" w:cs="宋体"/>
                <w:color w:val="000000"/>
                <w:kern w:val="2"/>
                <w:sz w:val="21"/>
                <w:szCs w:val="22"/>
                <w:lang w:val="en-US" w:eastAsia="zh-CN" w:bidi="ar-SA"/>
              </w:rPr>
              <w:t>5.1.2</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能够正确列出我国建筑工程基本建设程序；并正确掌握施工许可证制度</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能够较为正确列出我国建筑工程基本建设程序；并正确掌握施工许可证制度</w:t>
            </w:r>
            <w:r>
              <w:t xml:space="preserve">。 </w:t>
            </w:r>
          </w:p>
        </w:tc>
        <w:tc>
          <w:tcPr>
            <w:tcW w:w="1628"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能够较为正确列出我国建筑工程基本建设程序；并能较为正确掌握施工许可证制度</w:t>
            </w:r>
            <w:r>
              <w:t xml:space="preserve">。 </w:t>
            </w:r>
          </w:p>
        </w:tc>
        <w:tc>
          <w:tcPr>
            <w:tcW w:w="2016"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不能正确列出我国建筑工程基本建设程序；并不能较为正确掌握施工许可证制度</w:t>
            </w:r>
            <w:r>
              <w:t xml:space="preserve">。  </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10 </w:t>
            </w:r>
          </w:p>
        </w:tc>
      </w:tr>
      <w:tr>
        <w:tblPrEx>
          <w:tblCellMar>
            <w:top w:w="0" w:type="dxa"/>
            <w:left w:w="107" w:type="dxa"/>
            <w:bottom w:w="0" w:type="dxa"/>
            <w:right w:w="113" w:type="dxa"/>
          </w:tblCellMar>
        </w:tblPrEx>
        <w:trPr>
          <w:trHeight w:val="3202"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2"/>
            </w:pPr>
            <w:r>
              <w:t>目标</w:t>
            </w:r>
            <w:r>
              <w:rPr>
                <w:rFonts w:hint="eastAsia"/>
                <w:lang w:val="en-US" w:eastAsia="zh-CN"/>
              </w:rPr>
              <w:t>3</w:t>
            </w:r>
            <w:r>
              <w:rPr>
                <w:rFonts w:hint="eastAsia"/>
              </w:rPr>
              <w:t>：</w:t>
            </w:r>
            <w:r>
              <w:rPr>
                <w:rFonts w:hint="eastAsia"/>
                <w:lang w:val="en-US" w:eastAsia="zh-CN"/>
              </w:rPr>
              <w:t>培养</w:t>
            </w:r>
            <w:r>
              <w:t>学生</w:t>
            </w:r>
            <w:r>
              <w:rPr>
                <w:rFonts w:hint="eastAsia"/>
                <w:lang w:val="en-US" w:eastAsia="zh-CN"/>
              </w:rPr>
              <w:t>能根据建设工程发承包法律法规开展工程建设项目招标与投标工作；能够运用招标投标法的相关规定进行工程建设活动。</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5.1.9</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能够正确识别建设工程发包、承包的方式；能正确区分转包与分包的区别；能正确列出招投标的基本流程以及建设工程招标投标实施的范围。</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能够较为正确识别建设工程发包、承包的方式；能正确区分转包与分包的区别；能正确列出招投标的基本流程以及建设工程招标投标实施的范围。</w:t>
            </w:r>
          </w:p>
        </w:tc>
        <w:tc>
          <w:tcPr>
            <w:tcW w:w="1628"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能够较为正确识别建设工程发包、承包的方式；能较为正确区分转包与分包的区别；能较为正确列出招投标的基本流程以及建设工程招标投标实施的范围。</w:t>
            </w:r>
          </w:p>
        </w:tc>
        <w:tc>
          <w:tcPr>
            <w:tcW w:w="2016"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不能正确识别建设工程发包、承包的方式；不能正确区分转包与分包的区别；不能正确列出招投标的基本流程以及建设工程招标投标实施的范围。</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2"/>
            </w:pPr>
            <w:r>
              <w:t xml:space="preserve">10 </w:t>
            </w:r>
          </w:p>
        </w:tc>
      </w:tr>
      <w:tr>
        <w:tblPrEx>
          <w:tblCellMar>
            <w:top w:w="81" w:type="dxa"/>
            <w:left w:w="108" w:type="dxa"/>
            <w:bottom w:w="0" w:type="dxa"/>
            <w:right w:w="12" w:type="dxa"/>
          </w:tblCellMar>
        </w:tblPrEx>
        <w:trPr>
          <w:trHeight w:val="2952"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目标4：</w:t>
            </w:r>
            <w:r>
              <w:t>培养学生</w:t>
            </w:r>
            <w:r>
              <w:rPr>
                <w:rFonts w:hint="eastAsia"/>
                <w:lang w:val="en-US" w:eastAsia="zh-CN"/>
              </w:rPr>
              <w:t>具备签订建设工程施工合同的能力；能够研读合同并进行条件分析；能够按照合同条款进行项目管理，避免违约事件的发生；发生合同违约行为后，能及时、准确地做出应对。</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5.1.9</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够正确指出建设工程合同在合同分类方式中属于哪一类；能够正确区分要约邀请、邀约、承诺在招投标活动中的运用；能够正确陈述三种典型合同；能够正确指出建设工程合同的担保方式；能正确区分简单情况下建设工程的索赔情况。</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够较为正确指出建设工程合同在合同分类方式中属于哪一类；能够正确区分要约邀请、邀约、承诺在招投标活动中的运用；能够正确陈述三种典型合同；能够较为正确指出建设工程合同的担保方式；能较为正确区分简单情况下建设工程的索赔情况。</w:t>
            </w:r>
          </w:p>
        </w:tc>
        <w:tc>
          <w:tcPr>
            <w:tcW w:w="1628"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够较为正确指出建设工程合同在合同分类方式中属于哪一类；能够较为正确区分要约邀请、邀约、承诺在招投标活动中的运用；能够较为正确陈述三种典型合同；能够较为正确指出建设工程合同的担保方式；能较为正确区分简单情况下建设工程的索赔情况。</w:t>
            </w:r>
          </w:p>
        </w:tc>
        <w:tc>
          <w:tcPr>
            <w:tcW w:w="2016"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不能正确指出建设工程合同在合同分类方式中属于哪一类；不能正确区分要约邀请、邀约、承诺在招投标活动中的运用；不能正确陈述三种典型合同；不能正确指出建设工程合同的担保方式；不能正确区分简单情况下建设工程的索赔情况。</w:t>
            </w:r>
            <w:r>
              <w:t xml:space="preserve"> </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2"/>
              <w:rPr>
                <w:rFonts w:hint="default" w:eastAsia="仿宋_GB2312"/>
                <w:lang w:val="en-US" w:eastAsia="zh-CN"/>
              </w:rPr>
            </w:pPr>
            <w:r>
              <w:rPr>
                <w:rFonts w:hint="eastAsia"/>
                <w:lang w:val="en-US" w:eastAsia="zh-CN"/>
              </w:rPr>
              <w:t>20</w:t>
            </w:r>
          </w:p>
        </w:tc>
      </w:tr>
      <w:tr>
        <w:tblPrEx>
          <w:tblCellMar>
            <w:top w:w="81" w:type="dxa"/>
            <w:left w:w="108" w:type="dxa"/>
            <w:bottom w:w="0" w:type="dxa"/>
            <w:right w:w="12" w:type="dxa"/>
          </w:tblCellMar>
        </w:tblPrEx>
        <w:trPr>
          <w:trHeight w:val="3179"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2"/>
              <w:ind w:right="44" w:rightChars="20"/>
            </w:pPr>
            <w:r>
              <w:t>目标</w:t>
            </w:r>
            <w:r>
              <w:rPr>
                <w:rFonts w:hint="eastAsia"/>
                <w:lang w:val="en-US" w:eastAsia="zh-CN"/>
              </w:rPr>
              <w:t>5</w:t>
            </w:r>
            <w:r>
              <w:rPr>
                <w:rFonts w:hint="eastAsia"/>
                <w:lang w:eastAsia="zh-CN"/>
              </w:rPr>
              <w:t>：</w:t>
            </w:r>
            <w:r>
              <w:t>培养学生</w:t>
            </w:r>
            <w:r>
              <w:rPr>
                <w:rFonts w:hint="eastAsia"/>
                <w:lang w:val="en-US" w:eastAsia="zh-CN"/>
              </w:rPr>
              <w:t>安全生产的意识和“以人为本”的思想；具备较强的安全生产责任心；具备分析、判断危险标志的能力；具备施工现场事故上报的能力。</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w:t>
            </w:r>
            <w:r>
              <w:rPr>
                <w:rFonts w:hint="eastAsia" w:cs="宋体"/>
                <w:color w:val="000000"/>
                <w:kern w:val="2"/>
                <w:sz w:val="21"/>
                <w:szCs w:val="22"/>
                <w:lang w:val="en-US" w:eastAsia="zh-CN" w:bidi="ar-SA"/>
              </w:rPr>
              <w:t>7</w:t>
            </w:r>
            <w:r>
              <w:t>）</w:t>
            </w:r>
          </w:p>
        </w:tc>
        <w:tc>
          <w:tcPr>
            <w:tcW w:w="1487"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正确陈述我国安全生产管理方针；能正确列出需要领取安全生产许可证的单位；能准确说出三级安全教育、三类人员安全教育；能正确划分安全事故等级，并准确说出每级上报单位和调查单位；能正确区分各参建单位的安全生产责任</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正确陈述我国安全生产管理方针；能正确列出需要领取安全生产许可证的单位；能较为准确说出三级安全教育、三类人员安全教育；能较为正确划分安全事故等级，并较为准确说出每级上报单位和调查单位；能较为正确区分各参建单位的安全生产责任</w:t>
            </w:r>
            <w:r>
              <w:t>。</w:t>
            </w:r>
          </w:p>
        </w:tc>
        <w:tc>
          <w:tcPr>
            <w:tcW w:w="1628"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较为正确陈述我国安全生产管理方针；能较为正确列出需要领取安全生产许可证的单位；能较为准确说出三级安全教育、三类人员安全教育；能较为正确划分安全事故等级，并较为准确说出每级上报单位和调查单位；能较为正确区分各参建单位的安全生产责任</w:t>
            </w:r>
            <w:r>
              <w:t>。</w:t>
            </w:r>
          </w:p>
        </w:tc>
        <w:tc>
          <w:tcPr>
            <w:tcW w:w="2016"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不能正确陈述我国安全生产管理方针；不能正确列出需要领取安全生产许可证的单位；不能说出三级安全教育、三类人员安全教育；不能正确划分安全事故等级，不能正确区分各参建单位的安全生产责任</w:t>
            </w:r>
            <w:r>
              <w:t>。</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15</w:t>
            </w:r>
            <w:r>
              <w:t xml:space="preserve"> </w:t>
            </w:r>
          </w:p>
        </w:tc>
      </w:tr>
      <w:tr>
        <w:tblPrEx>
          <w:tblCellMar>
            <w:top w:w="81" w:type="dxa"/>
            <w:left w:w="108" w:type="dxa"/>
            <w:bottom w:w="0" w:type="dxa"/>
            <w:right w:w="12" w:type="dxa"/>
          </w:tblCellMar>
        </w:tblPrEx>
        <w:trPr>
          <w:trHeight w:val="759"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2"/>
              <w:ind w:right="44" w:rightChars="20"/>
            </w:pPr>
            <w:r>
              <w:t>目标</w:t>
            </w:r>
            <w:r>
              <w:rPr>
                <w:rFonts w:hint="eastAsia"/>
                <w:lang w:val="en-US" w:eastAsia="zh-CN"/>
              </w:rPr>
              <w:t>6</w:t>
            </w:r>
            <w:r>
              <w:rPr>
                <w:rFonts w:hint="eastAsia"/>
                <w:lang w:eastAsia="zh-CN"/>
              </w:rPr>
              <w:t>：</w:t>
            </w:r>
            <w:r>
              <w:t>培养学生</w:t>
            </w:r>
            <w:r>
              <w:rPr>
                <w:rFonts w:hint="eastAsia"/>
                <w:lang w:val="en-US" w:eastAsia="zh-CN"/>
              </w:rPr>
              <w:t>学生在实际工作中的工程质量意识；提高工程质量管理水平；能够熟练识别建设行为各方主体质量责任和义务的具体规定。</w:t>
            </w:r>
            <w:r>
              <w:t>（支撑毕业要求指标点</w:t>
            </w:r>
            <w:r>
              <w:rPr>
                <w:rFonts w:hint="eastAsia" w:ascii="宋体" w:hAnsi="宋体" w:eastAsia="仿宋_GB2312" w:cs="宋体"/>
                <w:color w:val="000000"/>
                <w:kern w:val="2"/>
                <w:sz w:val="21"/>
                <w:szCs w:val="22"/>
                <w:lang w:val="en-US" w:eastAsia="zh-CN" w:bidi="ar-SA"/>
              </w:rPr>
              <w:t>5.1.2</w:t>
            </w:r>
            <w:r>
              <w:rPr>
                <w:rFonts w:hint="eastAsia" w:cs="宋体"/>
                <w:color w:val="000000"/>
                <w:kern w:val="2"/>
                <w:sz w:val="21"/>
                <w:szCs w:val="22"/>
                <w:lang w:val="en-US" w:eastAsia="zh-CN" w:bidi="ar-SA"/>
              </w:rPr>
              <w:t>，</w:t>
            </w:r>
            <w:r>
              <w:rPr>
                <w:rFonts w:hint="eastAsia" w:ascii="宋体" w:hAnsi="宋体" w:eastAsia="仿宋_GB2312" w:cs="宋体"/>
                <w:color w:val="000000"/>
                <w:kern w:val="2"/>
                <w:sz w:val="21"/>
                <w:szCs w:val="22"/>
                <w:lang w:val="en-US" w:eastAsia="zh-CN" w:bidi="ar-SA"/>
              </w:rPr>
              <w:t>5.1.</w:t>
            </w:r>
            <w:r>
              <w:rPr>
                <w:rFonts w:hint="eastAsia" w:cs="宋体"/>
                <w:color w:val="000000"/>
                <w:kern w:val="2"/>
                <w:sz w:val="21"/>
                <w:szCs w:val="22"/>
                <w:lang w:val="en-US" w:eastAsia="zh-CN" w:bidi="ar-SA"/>
              </w:rPr>
              <w:t>7</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能正确区分工程建设的标准；能结合工程实际，较为正确分析质量验收过程中违反相关规定的情况；能正确够指出竣工验收的主体。</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2"/>
            </w:pPr>
            <w:r>
              <w:rPr>
                <w:rFonts w:hint="eastAsia"/>
                <w:lang w:val="en-US" w:eastAsia="zh-CN"/>
              </w:rPr>
              <w:t>能正确区分工程建设的标准；能结合工程实际，不能正确分析质量验收过程中违反相关规定的情况；能正确够指出竣工验收的主体。</w:t>
            </w:r>
            <w:r>
              <w:t xml:space="preserve"> </w:t>
            </w:r>
          </w:p>
        </w:tc>
        <w:tc>
          <w:tcPr>
            <w:tcW w:w="1628"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能较为正确区分工程建设的标准；能结合工程实际，不能正确分析质量验收过程中违反相关规定的情况；能较为正确够指出竣工验收的主体</w:t>
            </w:r>
            <w:r>
              <w:t xml:space="preserve">。 </w:t>
            </w:r>
          </w:p>
        </w:tc>
        <w:tc>
          <w:tcPr>
            <w:tcW w:w="2016" w:type="dxa"/>
            <w:tcBorders>
              <w:top w:val="single" w:color="000000" w:sz="4" w:space="0"/>
              <w:left w:val="single" w:color="000000" w:sz="4" w:space="0"/>
              <w:bottom w:val="single" w:color="000000" w:sz="4" w:space="0"/>
              <w:right w:val="single" w:color="000000" w:sz="4" w:space="0"/>
            </w:tcBorders>
          </w:tcPr>
          <w:p>
            <w:pPr>
              <w:pStyle w:val="12"/>
              <w:ind w:right="44" w:rightChars="20"/>
            </w:pPr>
            <w:r>
              <w:rPr>
                <w:rFonts w:hint="eastAsia"/>
                <w:lang w:val="en-US" w:eastAsia="zh-CN"/>
              </w:rPr>
              <w:t>不能正确区分工程建设的标准；结合工程实际，不能正确分析质量验收过程中违反相关规定的情况；不能正确够指出竣工验收的主体</w:t>
            </w:r>
            <w:r>
              <w:t xml:space="preserve">。  </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2"/>
            </w:pPr>
            <w:r>
              <w:rPr>
                <w:rFonts w:hint="eastAsia"/>
                <w:lang w:val="en-US" w:eastAsia="zh-CN"/>
              </w:rPr>
              <w:t>10</w:t>
            </w:r>
            <w:r>
              <w:t xml:space="preserve"> </w:t>
            </w:r>
          </w:p>
        </w:tc>
      </w:tr>
    </w:tbl>
    <w:p>
      <w:pPr>
        <w:spacing w:after="0"/>
        <w:rPr>
          <w:rFonts w:ascii="黑体" w:hAnsi="黑体" w:eastAsia="黑体" w:cs="黑体"/>
          <w:sz w:val="24"/>
        </w:rPr>
      </w:pPr>
      <w:r>
        <w:rPr>
          <w:rFonts w:ascii="黑体" w:hAnsi="黑体" w:eastAsia="黑体" w:cs="黑体"/>
          <w:sz w:val="24"/>
        </w:rPr>
        <w:t xml:space="preserve"> </w:t>
      </w:r>
    </w:p>
    <w:p>
      <w:pPr>
        <w:spacing w:after="0"/>
        <w:ind w:left="10" w:right="3233" w:hanging="10"/>
        <w:jc w:val="right"/>
      </w:pPr>
      <w:r>
        <w:rPr>
          <w:rFonts w:ascii="黑体" w:hAnsi="黑体" w:eastAsia="黑体" w:cs="黑体"/>
          <w:sz w:val="24"/>
        </w:rPr>
        <w:t xml:space="preserve">小组工作评价量表 </w:t>
      </w:r>
    </w:p>
    <w:tbl>
      <w:tblPr>
        <w:tblStyle w:val="8"/>
        <w:tblW w:w="10206" w:type="dxa"/>
        <w:jc w:val="center"/>
        <w:tblLayout w:type="autofit"/>
        <w:tblCellMar>
          <w:top w:w="81" w:type="dxa"/>
          <w:left w:w="108" w:type="dxa"/>
          <w:bottom w:w="0" w:type="dxa"/>
          <w:right w:w="100" w:type="dxa"/>
        </w:tblCellMar>
      </w:tblPr>
      <w:tblGrid>
        <w:gridCol w:w="1318"/>
        <w:gridCol w:w="2221"/>
        <w:gridCol w:w="2222"/>
        <w:gridCol w:w="2222"/>
        <w:gridCol w:w="2223"/>
      </w:tblGrid>
      <w:tr>
        <w:tblPrEx>
          <w:tblCellMar>
            <w:top w:w="81" w:type="dxa"/>
            <w:left w:w="108" w:type="dxa"/>
            <w:bottom w:w="0" w:type="dxa"/>
            <w:right w:w="100" w:type="dxa"/>
          </w:tblCellMar>
        </w:tblPrEx>
        <w:trPr>
          <w:trHeight w:val="330" w:hRule="atLeast"/>
          <w:jc w:val="center"/>
        </w:trPr>
        <w:tc>
          <w:tcPr>
            <w:tcW w:w="1101" w:type="dxa"/>
            <w:tcBorders>
              <w:top w:val="single" w:color="000000" w:sz="4" w:space="0"/>
              <w:left w:val="single" w:color="000000" w:sz="4" w:space="0"/>
              <w:bottom w:val="single" w:color="000000" w:sz="4" w:space="0"/>
              <w:right w:val="single" w:color="000000" w:sz="4" w:space="0"/>
            </w:tcBorders>
          </w:tcPr>
          <w:p>
            <w:pPr>
              <w:pStyle w:val="12"/>
              <w:jc w:val="center"/>
              <w:rPr>
                <w:b/>
              </w:rPr>
            </w:pPr>
            <w:r>
              <w:rPr>
                <w:b/>
              </w:rPr>
              <w:t>类别</w:t>
            </w:r>
          </w:p>
        </w:tc>
        <w:tc>
          <w:tcPr>
            <w:tcW w:w="1855" w:type="dxa"/>
            <w:tcBorders>
              <w:top w:val="single" w:color="000000" w:sz="4" w:space="0"/>
              <w:left w:val="single" w:color="000000" w:sz="4" w:space="0"/>
              <w:bottom w:val="single" w:color="000000" w:sz="4" w:space="0"/>
              <w:right w:val="single" w:color="000000" w:sz="4" w:space="0"/>
            </w:tcBorders>
          </w:tcPr>
          <w:p>
            <w:pPr>
              <w:pStyle w:val="12"/>
              <w:jc w:val="center"/>
              <w:rPr>
                <w:b/>
              </w:rPr>
            </w:pPr>
            <w:r>
              <w:rPr>
                <w:rFonts w:ascii="Times New Roman" w:hAnsi="Times New Roman" w:eastAsia="Times New Roman" w:cs="Times New Roman"/>
                <w:b/>
              </w:rPr>
              <w:t>4</w:t>
            </w:r>
          </w:p>
        </w:tc>
        <w:tc>
          <w:tcPr>
            <w:tcW w:w="1855" w:type="dxa"/>
            <w:tcBorders>
              <w:top w:val="single" w:color="000000" w:sz="4" w:space="0"/>
              <w:left w:val="single" w:color="000000" w:sz="4" w:space="0"/>
              <w:bottom w:val="single" w:color="000000" w:sz="4" w:space="0"/>
              <w:right w:val="single" w:color="000000" w:sz="4" w:space="0"/>
            </w:tcBorders>
          </w:tcPr>
          <w:p>
            <w:pPr>
              <w:pStyle w:val="12"/>
              <w:jc w:val="center"/>
              <w:rPr>
                <w:b/>
              </w:rPr>
            </w:pPr>
            <w:r>
              <w:rPr>
                <w:rFonts w:ascii="Times New Roman" w:hAnsi="Times New Roman" w:eastAsia="Times New Roman" w:cs="Times New Roman"/>
                <w:b/>
              </w:rPr>
              <w:t>3</w:t>
            </w:r>
          </w:p>
        </w:tc>
        <w:tc>
          <w:tcPr>
            <w:tcW w:w="1855" w:type="dxa"/>
            <w:tcBorders>
              <w:top w:val="single" w:color="000000" w:sz="4" w:space="0"/>
              <w:left w:val="single" w:color="000000" w:sz="4" w:space="0"/>
              <w:bottom w:val="single" w:color="000000" w:sz="4" w:space="0"/>
              <w:right w:val="single" w:color="000000" w:sz="4" w:space="0"/>
            </w:tcBorders>
          </w:tcPr>
          <w:p>
            <w:pPr>
              <w:pStyle w:val="12"/>
              <w:jc w:val="center"/>
              <w:rPr>
                <w:b/>
              </w:rPr>
            </w:pPr>
            <w:r>
              <w:rPr>
                <w:rFonts w:ascii="Times New Roman" w:hAnsi="Times New Roman" w:eastAsia="Times New Roman" w:cs="Times New Roman"/>
                <w:b/>
              </w:rPr>
              <w:t>2</w:t>
            </w:r>
          </w:p>
        </w:tc>
        <w:tc>
          <w:tcPr>
            <w:tcW w:w="1856" w:type="dxa"/>
            <w:tcBorders>
              <w:top w:val="single" w:color="000000" w:sz="4" w:space="0"/>
              <w:left w:val="single" w:color="000000" w:sz="4" w:space="0"/>
              <w:bottom w:val="single" w:color="000000" w:sz="4" w:space="0"/>
              <w:right w:val="single" w:color="000000" w:sz="4" w:space="0"/>
            </w:tcBorders>
          </w:tcPr>
          <w:p>
            <w:pPr>
              <w:pStyle w:val="12"/>
              <w:jc w:val="center"/>
              <w:rPr>
                <w:b/>
              </w:rPr>
            </w:pPr>
            <w:r>
              <w:rPr>
                <w:rFonts w:ascii="Times New Roman" w:hAnsi="Times New Roman" w:eastAsia="Times New Roman" w:cs="Times New Roman"/>
                <w:b/>
              </w:rPr>
              <w:t>1</w:t>
            </w:r>
          </w:p>
        </w:tc>
      </w:tr>
      <w:tr>
        <w:tblPrEx>
          <w:tblCellMar>
            <w:top w:w="81" w:type="dxa"/>
            <w:left w:w="108" w:type="dxa"/>
            <w:bottom w:w="0" w:type="dxa"/>
            <w:right w:w="100" w:type="dxa"/>
          </w:tblCellMar>
        </w:tblPrEx>
        <w:trPr>
          <w:trHeight w:val="1314"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贡献</w:t>
            </w:r>
            <w:r>
              <w:rPr>
                <w:rFonts w:ascii="Times New Roman" w:hAnsi="Times New Roman" w:eastAsia="Times New Roman" w:cs="Times New Roman"/>
                <w:b/>
              </w:rPr>
              <w:t xml:space="preserve">   </w:t>
            </w:r>
            <w:r>
              <w:rPr>
                <w:rFonts w:ascii="Times New Roman" w:hAnsi="Times New Roman" w:eastAsia="Times New Roman" w:cs="Times New Roman"/>
                <w:b/>
              </w:rPr>
              <w:tab/>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积极参与小组活动，并常常提出有用的观点，付出很多努力，是绝对的领导者。</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积极参与小组活动，并常常提出有用的观点，一直很努力，是强有力的领导者。</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在小组活动中有时会提出有用的观点，是恪尽职守的小组成员。</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2"/>
            </w:pPr>
            <w:r>
              <w:t>在小组活动中很少提出有用观点，或者拒绝参与活动。</w:t>
            </w:r>
            <w:r>
              <w:rPr>
                <w:rFonts w:ascii="Times New Roman" w:hAnsi="Times New Roman" w:eastAsia="Times New Roman" w:cs="Times New Roman"/>
              </w:rPr>
              <w:t xml:space="preserve"> </w:t>
            </w:r>
          </w:p>
        </w:tc>
      </w:tr>
      <w:tr>
        <w:tblPrEx>
          <w:tblCellMar>
            <w:top w:w="81" w:type="dxa"/>
            <w:left w:w="108" w:type="dxa"/>
            <w:bottom w:w="0" w:type="dxa"/>
            <w:right w:w="100" w:type="dxa"/>
          </w:tblCellMar>
        </w:tblPrEx>
        <w:trPr>
          <w:trHeight w:val="1888"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时间管理</w:t>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在整个工作中总能很好地安排工作日程，确保事情按时完成。小组不会因这个人的耽搁而调整截止日期或工作职责。</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在整个工作中一般都能很好安排工作日程，但个别事项上有所耽搁，小组工作不会因此而调整截止日期或者工作职责。</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有拖延的倾向，但总能在截止日期前完成任务。小组工作不会因这个人的耽搁而调整截止日期或工作职责。</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2"/>
            </w:pPr>
            <w:r>
              <w:t>很少能在截止日期前完成任务，小组工作不得不因这个人的时间管理不当而调整截止日期或工作职责。</w:t>
            </w:r>
            <w:r>
              <w:rPr>
                <w:rFonts w:ascii="Times New Roman" w:hAnsi="Times New Roman" w:eastAsia="Times New Roman" w:cs="Times New Roman"/>
              </w:rPr>
              <w:t xml:space="preserve"> </w:t>
            </w:r>
          </w:p>
        </w:tc>
      </w:tr>
      <w:tr>
        <w:tblPrEx>
          <w:tblCellMar>
            <w:top w:w="81" w:type="dxa"/>
            <w:left w:w="108" w:type="dxa"/>
            <w:bottom w:w="0" w:type="dxa"/>
            <w:right w:w="100" w:type="dxa"/>
          </w:tblCellMar>
        </w:tblPrEx>
        <w:trPr>
          <w:trHeight w:val="1037"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工作质量</w:t>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完成的工作质量最高。</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完成了高质量的工作。</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完成的工作有时需要其他组员重做。</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2"/>
            </w:pPr>
            <w:r>
              <w:t>完成的工作常常需要其他组员重做，或拒绝参与工作。</w:t>
            </w:r>
            <w:r>
              <w:rPr>
                <w:rFonts w:ascii="Times New Roman" w:hAnsi="Times New Roman" w:eastAsia="Times New Roman" w:cs="Times New Roman"/>
              </w:rPr>
              <w:t xml:space="preserve"> </w:t>
            </w:r>
          </w:p>
        </w:tc>
      </w:tr>
      <w:tr>
        <w:tblPrEx>
          <w:tblCellMar>
            <w:top w:w="81" w:type="dxa"/>
            <w:left w:w="108" w:type="dxa"/>
            <w:bottom w:w="0" w:type="dxa"/>
            <w:right w:w="100" w:type="dxa"/>
          </w:tblCellMar>
        </w:tblPrEx>
        <w:trPr>
          <w:trHeight w:val="1336"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2"/>
              <w:rPr>
                <w:b/>
              </w:rPr>
            </w:pPr>
            <w:r>
              <w:rPr>
                <w:b/>
              </w:rPr>
              <w:t>态度</w:t>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从不公开批评本小组项目或其他组员的工作，总是以积极的态度投入工作。</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很少公开批评本小组项目或其他组员的工作，常常以积极的态度投入工作。</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2"/>
            </w:pPr>
            <w:r>
              <w:t>偶尔公开批评本小组项目或其他成员的工作，常常以积极的态度投入工作。</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2"/>
            </w:pPr>
            <w:r>
              <w:t>常常公开批评本小组项目或其他组员的工作，常常以消极态度投入工作。</w:t>
            </w:r>
            <w:r>
              <w:rPr>
                <w:rFonts w:ascii="Times New Roman" w:hAnsi="Times New Roman" w:eastAsia="Times New Roman" w:cs="Times New Roman"/>
              </w:rPr>
              <w:t xml:space="preserve"> </w:t>
            </w:r>
          </w:p>
        </w:tc>
      </w:tr>
    </w:tbl>
    <w:p>
      <w:pPr>
        <w:spacing w:after="0"/>
      </w:pPr>
      <w:r>
        <w:rPr>
          <w:rFonts w:ascii="黑体" w:hAnsi="黑体" w:eastAsia="黑体" w:cs="黑体"/>
          <w:sz w:val="24"/>
        </w:rPr>
        <w:t xml:space="preserve"> </w:t>
      </w:r>
    </w:p>
    <w:p>
      <w:pPr>
        <w:spacing w:after="0"/>
      </w:pPr>
      <w:r>
        <w:rPr>
          <w:rFonts w:ascii="黑体" w:hAnsi="黑体" w:eastAsia="黑体" w:cs="黑体"/>
          <w:sz w:val="24"/>
        </w:rPr>
        <w:t xml:space="preserve"> </w:t>
      </w:r>
    </w:p>
    <w:p>
      <w:pPr>
        <w:spacing w:after="0"/>
      </w:pPr>
      <w:r>
        <w:rPr>
          <w:rFonts w:ascii="黑体" w:hAnsi="黑体" w:eastAsia="黑体" w:cs="黑体"/>
          <w:sz w:val="24"/>
        </w:rPr>
        <w:t xml:space="preserve"> </w:t>
      </w:r>
    </w:p>
    <w:sectPr>
      <w:footerReference r:id="rId5" w:type="first"/>
      <w:footerReference r:id="rId3" w:type="default"/>
      <w:footerReference r:id="rId4" w:type="even"/>
      <w:pgSz w:w="11906" w:h="16838"/>
      <w:pgMar w:top="1134" w:right="1134" w:bottom="1134" w:left="1418" w:header="72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A484B"/>
    <w:multiLevelType w:val="singleLevel"/>
    <w:tmpl w:val="1E2A484B"/>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attachedTemplate r:id="rId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2F7342"/>
    <w:rsid w:val="0024232E"/>
    <w:rsid w:val="00313817"/>
    <w:rsid w:val="005B5545"/>
    <w:rsid w:val="006C3ECE"/>
    <w:rsid w:val="00865812"/>
    <w:rsid w:val="0097179D"/>
    <w:rsid w:val="009747D8"/>
    <w:rsid w:val="00A11987"/>
    <w:rsid w:val="00A37426"/>
    <w:rsid w:val="00C34A4F"/>
    <w:rsid w:val="00D13700"/>
    <w:rsid w:val="00F059EA"/>
    <w:rsid w:val="00F62A82"/>
    <w:rsid w:val="11C15D55"/>
    <w:rsid w:val="1B451ACB"/>
    <w:rsid w:val="1B944F4B"/>
    <w:rsid w:val="299C2855"/>
    <w:rsid w:val="322F7342"/>
    <w:rsid w:val="410032FA"/>
    <w:rsid w:val="43FD704B"/>
    <w:rsid w:val="44E702E0"/>
    <w:rsid w:val="455F169D"/>
    <w:rsid w:val="476670E4"/>
    <w:rsid w:val="64747CEF"/>
    <w:rsid w:val="695A58A7"/>
    <w:rsid w:val="6A301282"/>
    <w:rsid w:val="794F7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spacing w:before="37"/>
      <w:ind w:left="117"/>
    </w:pPr>
    <w:rPr>
      <w:rFonts w:ascii="仿宋" w:hAnsi="仿宋" w:eastAsia="仿宋"/>
      <w:sz w:val="30"/>
      <w:szCs w:val="30"/>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styleId="5">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customStyle="1" w:styleId="8">
    <w:name w:val="TableGrid"/>
    <w:uiPriority w:val="0"/>
    <w:tblPr>
      <w:tblCellMar>
        <w:top w:w="0" w:type="dxa"/>
        <w:left w:w="0" w:type="dxa"/>
        <w:bottom w:w="0" w:type="dxa"/>
        <w:right w:w="0" w:type="dxa"/>
      </w:tblCellMar>
    </w:tblPr>
  </w:style>
  <w:style w:type="paragraph" w:customStyle="1" w:styleId="9">
    <w:name w:val="biaoti"/>
    <w:basedOn w:val="5"/>
    <w:qFormat/>
    <w:uiPriority w:val="0"/>
    <w:pPr>
      <w:spacing w:before="0" w:after="0" w:line="240" w:lineRule="auto"/>
    </w:pPr>
    <w:rPr>
      <w:rFonts w:ascii="黑体" w:hAnsi="黑体" w:eastAsia="黑体" w:cs="黑体"/>
      <w:sz w:val="36"/>
    </w:rPr>
  </w:style>
  <w:style w:type="paragraph" w:customStyle="1" w:styleId="10">
    <w:name w:val="yijibiaoti"/>
    <w:basedOn w:val="2"/>
    <w:qFormat/>
    <w:uiPriority w:val="0"/>
    <w:pPr>
      <w:spacing w:before="50" w:beforeLines="50" w:after="50" w:afterLines="50" w:line="240" w:lineRule="auto"/>
      <w:jc w:val="both"/>
      <w:outlineLvl w:val="1"/>
    </w:pPr>
    <w:rPr>
      <w:rFonts w:ascii="黑体" w:hAnsi="黑体" w:eastAsia="黑体" w:cs="黑体"/>
      <w:sz w:val="28"/>
      <w:szCs w:val="28"/>
    </w:rPr>
  </w:style>
  <w:style w:type="character" w:customStyle="1" w:styleId="11">
    <w:name w:val="标题 字符"/>
    <w:basedOn w:val="7"/>
    <w:link w:val="5"/>
    <w:uiPriority w:val="10"/>
    <w:rPr>
      <w:rFonts w:asciiTheme="majorHAnsi" w:hAnsiTheme="majorHAnsi" w:eastAsiaTheme="majorEastAsia" w:cstheme="majorBidi"/>
      <w:b/>
      <w:bCs/>
      <w:color w:val="000000"/>
      <w:sz w:val="32"/>
      <w:szCs w:val="32"/>
    </w:rPr>
  </w:style>
  <w:style w:type="paragraph" w:customStyle="1" w:styleId="12">
    <w:name w:val="biaogeziti"/>
    <w:basedOn w:val="1"/>
    <w:qFormat/>
    <w:uiPriority w:val="0"/>
    <w:pPr>
      <w:spacing w:after="0" w:line="240" w:lineRule="auto"/>
      <w:jc w:val="both"/>
    </w:pPr>
    <w:rPr>
      <w:rFonts w:ascii="宋体" w:hAnsi="宋体" w:eastAsia="仿宋_GB2312" w:cs="宋体"/>
      <w:sz w:val="21"/>
    </w:rPr>
  </w:style>
  <w:style w:type="character" w:customStyle="1" w:styleId="13">
    <w:name w:val="标题 1 字符"/>
    <w:basedOn w:val="7"/>
    <w:link w:val="2"/>
    <w:uiPriority w:val="9"/>
    <w:rPr>
      <w:rFonts w:ascii="Calibri" w:hAnsi="Calibri" w:eastAsia="Calibri" w:cs="Calibri"/>
      <w:b/>
      <w:bCs/>
      <w:color w:val="000000"/>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5039\Desktop\2020&#24180;7&#26376;&#22312;&#32447;&#20248;&#36136;&#35838;&#31243;&#24314;&#35774;&#24037;&#20316;-&#38468;&#20214;\&#38468;&#20214;5&#65306;OBE&#35838;&#31243;&#25945;&#23398;&#22823;&#32434;&#21442;&#32771;&#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附件5：OBE课程教学大纲参考模板.dotx</Template>
  <Pages>14</Pages>
  <Words>11681</Words>
  <Characters>12040</Characters>
  <Lines>91</Lines>
  <Paragraphs>25</Paragraphs>
  <TotalTime>0</TotalTime>
  <ScaleCrop>false</ScaleCrop>
  <LinksUpToDate>false</LinksUpToDate>
  <CharactersWithSpaces>12335</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2020-08-29T03:46:00Z</dcterms:created>
  <dc:creator>61</dc:creator>
  <cp:lastModifiedBy>61</cp:lastModifiedBy>
  <dcterms:modified xsi:type="dcterms:W3CDTF">2020-09-09T07:42:17Z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